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560" w:rsidRPr="00764AE9" w:rsidRDefault="00764AE9" w:rsidP="00764AE9">
      <w:pPr>
        <w:jc w:val="both"/>
        <w:rPr>
          <w:b/>
          <w:sz w:val="24"/>
          <w:szCs w:val="24"/>
        </w:rPr>
      </w:pPr>
      <w:r w:rsidRPr="00764AE9">
        <w:rPr>
          <w:b/>
          <w:sz w:val="24"/>
          <w:szCs w:val="24"/>
        </w:rPr>
        <w:t>UTILIZACIÓN DE LOS NÚMEROS DECIMALES EN LOS INSTRUMENTOS DE MEDIDA</w:t>
      </w:r>
    </w:p>
    <w:p w:rsidR="00764AE9" w:rsidRDefault="00764AE9" w:rsidP="00764AE9">
      <w:pPr>
        <w:jc w:val="both"/>
        <w:rPr>
          <w:sz w:val="24"/>
          <w:szCs w:val="24"/>
        </w:rPr>
      </w:pPr>
      <w:r w:rsidRPr="00764AE9">
        <w:rPr>
          <w:sz w:val="24"/>
          <w:szCs w:val="24"/>
        </w:rPr>
        <w:t>La utilización de los números decimales es muy común en casi la totalidad de las aplicaciones automovilísticas y, por tanto más en la medición de parámetros. Los aparatos de medida más utilizados que hacen uso de los números decimales son:</w:t>
      </w:r>
    </w:p>
    <w:p w:rsidR="00764AE9" w:rsidRPr="00A7486B" w:rsidRDefault="00764AE9" w:rsidP="00764AE9">
      <w:pPr>
        <w:jc w:val="both"/>
        <w:rPr>
          <w:sz w:val="24"/>
          <w:szCs w:val="24"/>
          <w:u w:val="single"/>
        </w:rPr>
      </w:pPr>
      <w:r w:rsidRPr="00A7486B">
        <w:rPr>
          <w:sz w:val="24"/>
          <w:szCs w:val="24"/>
          <w:u w:val="single"/>
        </w:rPr>
        <w:t>EL CALIBRE O PIE DEL REY:</w:t>
      </w:r>
    </w:p>
    <w:p w:rsidR="00764AE9" w:rsidRDefault="00764AE9" w:rsidP="00764AE9">
      <w:pPr>
        <w:jc w:val="both"/>
        <w:rPr>
          <w:sz w:val="24"/>
          <w:szCs w:val="24"/>
        </w:rPr>
      </w:pPr>
      <w:r>
        <w:rPr>
          <w:sz w:val="24"/>
          <w:szCs w:val="24"/>
        </w:rPr>
        <w:t>Realiza mediciones de fracciones de milímetro con la ayuda de otra regla graduada denominada “nonio” que divide milímetros en 10, 20 o 50 partes llegando a obtener apreciaciones que llegan desde los 0,10 – 0,05 hasta los 0,02 milímetros.</w:t>
      </w:r>
    </w:p>
    <w:p w:rsidR="001B409C" w:rsidRDefault="001B409C" w:rsidP="00764AE9">
      <w:pPr>
        <w:jc w:val="both"/>
        <w:rPr>
          <w:sz w:val="24"/>
          <w:szCs w:val="24"/>
        </w:rPr>
      </w:pPr>
      <w:r>
        <w:rPr>
          <w:noProof/>
          <w:lang w:eastAsia="es-ES"/>
        </w:rPr>
        <w:drawing>
          <wp:inline distT="0" distB="0" distL="0" distR="0">
            <wp:extent cx="5400040" cy="2662354"/>
            <wp:effectExtent l="0" t="0" r="0" b="5080"/>
            <wp:docPr id="1" name="Imagen 1" descr="http://ing-mecanica-2010.mex.tl/imagesnew2/0/1/0/0/0/8/1/5/6/2/Pie%20de%20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g-mecanica-2010.mex.tl/imagesnew2/0/1/0/0/0/8/1/5/6/2/Pie%20de%20rey.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662354"/>
                    </a:xfrm>
                    <a:prstGeom prst="rect">
                      <a:avLst/>
                    </a:prstGeom>
                    <a:noFill/>
                    <a:ln>
                      <a:noFill/>
                    </a:ln>
                  </pic:spPr>
                </pic:pic>
              </a:graphicData>
            </a:graphic>
          </wp:inline>
        </w:drawing>
      </w:r>
    </w:p>
    <w:p w:rsidR="00764AE9" w:rsidRPr="00A7486B" w:rsidRDefault="00764AE9" w:rsidP="00764AE9">
      <w:pPr>
        <w:jc w:val="both"/>
        <w:rPr>
          <w:sz w:val="24"/>
          <w:szCs w:val="24"/>
          <w:u w:val="single"/>
        </w:rPr>
      </w:pPr>
      <w:r w:rsidRPr="00A7486B">
        <w:rPr>
          <w:sz w:val="24"/>
          <w:szCs w:val="24"/>
          <w:u w:val="single"/>
        </w:rPr>
        <w:t>EL MICRÓMETRO</w:t>
      </w:r>
    </w:p>
    <w:p w:rsidR="00764AE9" w:rsidRDefault="00764AE9" w:rsidP="00764AE9">
      <w:pPr>
        <w:jc w:val="both"/>
        <w:rPr>
          <w:sz w:val="24"/>
          <w:szCs w:val="24"/>
        </w:rPr>
      </w:pPr>
      <w:r>
        <w:rPr>
          <w:sz w:val="24"/>
          <w:szCs w:val="24"/>
        </w:rPr>
        <w:t>Es un instrumento de medida directa que sirve para medir espesores y diámetros exteriores. Existen diferentes tipos de micrómetros según su rango. Así, un micrómetro 0-25 sirve para medir cosas con una anchura máxima de 25 mm, uno de 25 -50 no servirá para cosas menores de 25 m/m ni mayores de 50, uno de 50 -75 no medirá menos de 50 m/m ni más de 75 etc.</w:t>
      </w:r>
    </w:p>
    <w:p w:rsidR="001B409C" w:rsidRDefault="001B409C" w:rsidP="00764AE9">
      <w:pPr>
        <w:jc w:val="both"/>
        <w:rPr>
          <w:sz w:val="24"/>
          <w:szCs w:val="24"/>
        </w:rPr>
      </w:pPr>
      <w:r>
        <w:rPr>
          <w:noProof/>
          <w:lang w:eastAsia="es-ES"/>
        </w:rPr>
        <w:lastRenderedPageBreak/>
        <w:drawing>
          <wp:inline distT="0" distB="0" distL="0" distR="0">
            <wp:extent cx="5400040" cy="2522559"/>
            <wp:effectExtent l="0" t="0" r="0" b="0"/>
            <wp:docPr id="2" name="Imagen 2" descr="http://www.demaquinasyherramientas.com/wp-content/uploads/2010/09/Partes-de-un-micrometro-ext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maquinasyherramientas.com/wp-content/uploads/2010/09/Partes-de-un-micrometro-exterio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522559"/>
                    </a:xfrm>
                    <a:prstGeom prst="rect">
                      <a:avLst/>
                    </a:prstGeom>
                    <a:noFill/>
                    <a:ln>
                      <a:noFill/>
                    </a:ln>
                  </pic:spPr>
                </pic:pic>
              </a:graphicData>
            </a:graphic>
          </wp:inline>
        </w:drawing>
      </w:r>
    </w:p>
    <w:p w:rsidR="00764AE9" w:rsidRDefault="00764AE9" w:rsidP="00764AE9">
      <w:pPr>
        <w:jc w:val="both"/>
        <w:rPr>
          <w:sz w:val="24"/>
          <w:szCs w:val="24"/>
        </w:rPr>
      </w:pPr>
    </w:p>
    <w:p w:rsidR="00764AE9" w:rsidRPr="008E670A" w:rsidRDefault="00764AE9" w:rsidP="00764AE9">
      <w:pPr>
        <w:jc w:val="both"/>
        <w:rPr>
          <w:b/>
          <w:sz w:val="24"/>
          <w:szCs w:val="24"/>
        </w:rPr>
      </w:pPr>
      <w:r w:rsidRPr="008E670A">
        <w:rPr>
          <w:b/>
          <w:sz w:val="24"/>
          <w:szCs w:val="24"/>
        </w:rPr>
        <w:t>CÁLCULO DE LA CILINDRADA UNITARIA Y TOTAL DE UN MOTOR</w:t>
      </w:r>
    </w:p>
    <w:p w:rsidR="00764AE9" w:rsidRDefault="00764AE9" w:rsidP="00764AE9">
      <w:pPr>
        <w:jc w:val="both"/>
        <w:rPr>
          <w:sz w:val="24"/>
          <w:szCs w:val="24"/>
        </w:rPr>
      </w:pPr>
      <w:r>
        <w:rPr>
          <w:sz w:val="24"/>
          <w:szCs w:val="24"/>
        </w:rPr>
        <w:t xml:space="preserve">Para la realización de muchos de los cálculos o parámetros de un vehículo son </w:t>
      </w:r>
      <w:r w:rsidR="008E670A">
        <w:rPr>
          <w:sz w:val="24"/>
          <w:szCs w:val="24"/>
        </w:rPr>
        <w:t>necesarias</w:t>
      </w:r>
      <w:r>
        <w:rPr>
          <w:sz w:val="24"/>
          <w:szCs w:val="24"/>
        </w:rPr>
        <w:t xml:space="preserve"> una serie de fórmulas cuyas aplicaciones matemáticas son fundamentales. Entre todas ellas destacaremos un parámetro fundamental y común para todos los motores existentes, y eso es el cálculo de la cilindrada o volumen unitario y total de un motor.</w:t>
      </w:r>
    </w:p>
    <w:p w:rsidR="008E670A" w:rsidRPr="00A7486B" w:rsidRDefault="008E670A" w:rsidP="00A7486B">
      <w:pPr>
        <w:ind w:left="708" w:firstLine="708"/>
        <w:jc w:val="both"/>
        <w:rPr>
          <w:rFonts w:eastAsiaTheme="minorEastAsia"/>
          <w:sz w:val="24"/>
          <w:szCs w:val="24"/>
        </w:rPr>
      </w:pPr>
    </w:p>
    <w:tbl>
      <w:tblPr>
        <w:tblStyle w:val="Tablaconcuadrcula"/>
        <w:tblW w:w="0" w:type="auto"/>
        <w:tblInd w:w="1951" w:type="dxa"/>
        <w:tblLook w:val="04A0" w:firstRow="1" w:lastRow="0" w:firstColumn="1" w:lastColumn="0" w:noHBand="0" w:noVBand="1"/>
      </w:tblPr>
      <w:tblGrid>
        <w:gridCol w:w="5103"/>
      </w:tblGrid>
      <w:tr w:rsidR="00A7486B" w:rsidTr="00A7486B">
        <w:trPr>
          <w:trHeight w:val="1800"/>
        </w:trPr>
        <w:tc>
          <w:tcPr>
            <w:tcW w:w="5103" w:type="dxa"/>
          </w:tcPr>
          <w:p w:rsidR="00A7486B" w:rsidRDefault="00A7486B" w:rsidP="00A7486B">
            <w:pPr>
              <w:jc w:val="both"/>
              <w:rPr>
                <w:sz w:val="24"/>
                <w:szCs w:val="24"/>
              </w:rPr>
            </w:pPr>
            <w:r>
              <w:rPr>
                <w:sz w:val="24"/>
                <w:szCs w:val="24"/>
              </w:rPr>
              <w:t>Las fórmulas a utilizar son:</w:t>
            </w:r>
          </w:p>
          <w:p w:rsidR="001E6497" w:rsidRDefault="001E6497" w:rsidP="00A7486B">
            <w:pPr>
              <w:jc w:val="both"/>
              <w:rPr>
                <w:sz w:val="24"/>
                <w:szCs w:val="24"/>
              </w:rPr>
            </w:pPr>
          </w:p>
          <w:p w:rsidR="00A7486B" w:rsidRDefault="00A7486B" w:rsidP="00A7486B">
            <w:pPr>
              <w:pStyle w:val="Sinespaciado"/>
              <w:rPr>
                <w:rFonts w:eastAsiaTheme="minorEastAsia"/>
                <w:sz w:val="24"/>
                <w:szCs w:val="24"/>
              </w:rPr>
            </w:pPr>
            <w:r>
              <w:rPr>
                <w:sz w:val="24"/>
                <w:szCs w:val="24"/>
              </w:rPr>
              <w:t xml:space="preserve">                          V</w:t>
            </w:r>
            <w:r>
              <w:rPr>
                <w:sz w:val="24"/>
                <w:szCs w:val="24"/>
                <w:vertAlign w:val="subscript"/>
              </w:rPr>
              <w:t>U</w:t>
            </w:r>
            <w:r>
              <w:rPr>
                <w:sz w:val="24"/>
                <w:szCs w:val="24"/>
              </w:rPr>
              <w:t xml:space="preserve"> = </w:t>
            </w:r>
            <m:oMath>
              <m:r>
                <w:rPr>
                  <w:rFonts w:ascii="Cambria Math" w:hAnsi="Cambria Math"/>
                  <w:sz w:val="24"/>
                  <w:szCs w:val="24"/>
                </w:rPr>
                <m:t>π</m:t>
              </m:r>
            </m:oMath>
            <w:r>
              <w:rPr>
                <w:rFonts w:eastAsiaTheme="minorEastAsia"/>
                <w:sz w:val="24"/>
                <w:szCs w:val="24"/>
              </w:rPr>
              <w:t xml:space="preserve"> </w:t>
            </w:r>
            <w:proofErr w:type="gramStart"/>
            <w:r w:rsidRPr="00A7486B">
              <w:rPr>
                <w:rFonts w:eastAsiaTheme="minorEastAsia"/>
                <w:sz w:val="24"/>
                <w:szCs w:val="24"/>
                <w:u w:val="single"/>
              </w:rPr>
              <w:t>D</w:t>
            </w:r>
            <w:r>
              <w:rPr>
                <w:rFonts w:eastAsiaTheme="minorEastAsia"/>
                <w:sz w:val="24"/>
                <w:szCs w:val="24"/>
                <w:u w:val="single"/>
                <w:vertAlign w:val="superscript"/>
              </w:rPr>
              <w:t>2</w:t>
            </w:r>
            <w:r w:rsidRPr="00A7486B">
              <w:rPr>
                <w:rFonts w:eastAsiaTheme="minorEastAsia"/>
                <w:sz w:val="24"/>
                <w:szCs w:val="24"/>
                <w:u w:val="single"/>
              </w:rPr>
              <w:t xml:space="preserve"> </w:t>
            </w:r>
            <w:r>
              <w:rPr>
                <w:rFonts w:eastAsiaTheme="minorEastAsia"/>
                <w:sz w:val="24"/>
                <w:szCs w:val="24"/>
              </w:rPr>
              <w:t>.</w:t>
            </w:r>
            <w:proofErr w:type="gramEnd"/>
            <w:r>
              <w:rPr>
                <w:rFonts w:eastAsiaTheme="minorEastAsia"/>
                <w:sz w:val="24"/>
                <w:szCs w:val="24"/>
              </w:rPr>
              <w:t xml:space="preserve"> C</w:t>
            </w:r>
          </w:p>
          <w:p w:rsidR="00A7486B" w:rsidRDefault="001E6497" w:rsidP="00A7486B">
            <w:pPr>
              <w:pStyle w:val="Sinespaciado"/>
              <w:rPr>
                <w:rFonts w:eastAsiaTheme="minorEastAsia"/>
                <w:sz w:val="24"/>
                <w:szCs w:val="24"/>
              </w:rPr>
            </w:pPr>
            <w:r>
              <w:rPr>
                <w:rFonts w:eastAsiaTheme="minorEastAsia"/>
                <w:sz w:val="24"/>
                <w:szCs w:val="24"/>
              </w:rPr>
              <w:t xml:space="preserve">                                       4</w:t>
            </w:r>
          </w:p>
          <w:p w:rsidR="001E6497" w:rsidRDefault="001E6497" w:rsidP="00A7486B">
            <w:pPr>
              <w:pStyle w:val="Sinespaciado"/>
              <w:rPr>
                <w:rFonts w:eastAsiaTheme="minorEastAsia"/>
                <w:sz w:val="24"/>
                <w:szCs w:val="24"/>
              </w:rPr>
            </w:pPr>
          </w:p>
          <w:p w:rsidR="00A7486B" w:rsidRPr="00A7486B" w:rsidRDefault="00A7486B" w:rsidP="00A7486B">
            <w:pPr>
              <w:ind w:left="708" w:firstLine="708"/>
              <w:jc w:val="both"/>
              <w:rPr>
                <w:rFonts w:eastAsiaTheme="minorEastAsia"/>
                <w:sz w:val="24"/>
                <w:szCs w:val="24"/>
              </w:rPr>
            </w:pPr>
            <w:r>
              <w:rPr>
                <w:rFonts w:eastAsiaTheme="minorEastAsia"/>
                <w:sz w:val="24"/>
                <w:szCs w:val="24"/>
              </w:rPr>
              <w:t>V</w:t>
            </w:r>
            <w:r>
              <w:rPr>
                <w:rFonts w:eastAsiaTheme="minorEastAsia"/>
                <w:sz w:val="24"/>
                <w:szCs w:val="24"/>
                <w:vertAlign w:val="subscript"/>
              </w:rPr>
              <w:t>T</w:t>
            </w:r>
            <w:r>
              <w:rPr>
                <w:rFonts w:eastAsiaTheme="minorEastAsia"/>
                <w:sz w:val="24"/>
                <w:szCs w:val="24"/>
              </w:rPr>
              <w:t xml:space="preserve"> </w:t>
            </w:r>
            <w:r>
              <w:rPr>
                <w:sz w:val="24"/>
                <w:szCs w:val="24"/>
              </w:rPr>
              <w:t xml:space="preserve">= </w:t>
            </w:r>
            <m:oMath>
              <m:r>
                <w:rPr>
                  <w:rFonts w:ascii="Cambria Math" w:hAnsi="Cambria Math"/>
                  <w:sz w:val="24"/>
                  <w:szCs w:val="24"/>
                </w:rPr>
                <m:t>π</m:t>
              </m:r>
            </m:oMath>
            <w:r>
              <w:rPr>
                <w:rFonts w:eastAsiaTheme="minorEastAsia"/>
                <w:sz w:val="24"/>
                <w:szCs w:val="24"/>
              </w:rPr>
              <w:t xml:space="preserve"> </w:t>
            </w:r>
            <w:proofErr w:type="gramStart"/>
            <w:r w:rsidRPr="00A7486B">
              <w:rPr>
                <w:rFonts w:eastAsiaTheme="minorEastAsia"/>
                <w:sz w:val="24"/>
                <w:szCs w:val="24"/>
                <w:u w:val="single"/>
              </w:rPr>
              <w:t>D</w:t>
            </w:r>
            <w:r>
              <w:rPr>
                <w:rFonts w:eastAsiaTheme="minorEastAsia"/>
                <w:sz w:val="24"/>
                <w:szCs w:val="24"/>
                <w:u w:val="single"/>
                <w:vertAlign w:val="superscript"/>
              </w:rPr>
              <w:t>2</w:t>
            </w:r>
            <w:r>
              <w:rPr>
                <w:rFonts w:eastAsiaTheme="minorEastAsia"/>
                <w:sz w:val="24"/>
                <w:szCs w:val="24"/>
              </w:rPr>
              <w:t xml:space="preserve"> .</w:t>
            </w:r>
            <w:proofErr w:type="gramEnd"/>
            <w:r>
              <w:rPr>
                <w:rFonts w:eastAsiaTheme="minorEastAsia"/>
                <w:sz w:val="24"/>
                <w:szCs w:val="24"/>
              </w:rPr>
              <w:t xml:space="preserve"> </w:t>
            </w:r>
            <w:proofErr w:type="gramStart"/>
            <w:r>
              <w:rPr>
                <w:rFonts w:eastAsiaTheme="minorEastAsia"/>
                <w:sz w:val="24"/>
                <w:szCs w:val="24"/>
              </w:rPr>
              <w:t>C</w:t>
            </w:r>
            <w:r w:rsidR="001E6497">
              <w:rPr>
                <w:rFonts w:eastAsiaTheme="minorEastAsia"/>
                <w:sz w:val="24"/>
                <w:szCs w:val="24"/>
              </w:rPr>
              <w:t xml:space="preserve"> .</w:t>
            </w:r>
            <w:proofErr w:type="gramEnd"/>
            <w:r w:rsidR="001E6497">
              <w:rPr>
                <w:rFonts w:eastAsiaTheme="minorEastAsia"/>
                <w:sz w:val="24"/>
                <w:szCs w:val="24"/>
              </w:rPr>
              <w:t xml:space="preserve"> N</w:t>
            </w:r>
          </w:p>
          <w:p w:rsidR="00A7486B" w:rsidRDefault="001E6497" w:rsidP="00A7486B">
            <w:pPr>
              <w:pStyle w:val="Sinespaciado"/>
            </w:pPr>
            <w:r>
              <w:t xml:space="preserve">                                          4</w:t>
            </w:r>
          </w:p>
        </w:tc>
      </w:tr>
    </w:tbl>
    <w:p w:rsidR="00A7486B" w:rsidRDefault="00A7486B" w:rsidP="00A7486B">
      <w:pPr>
        <w:pStyle w:val="Sinespaciado"/>
      </w:pPr>
      <w:bookmarkStart w:id="0" w:name="_GoBack"/>
      <w:bookmarkEnd w:id="0"/>
    </w:p>
    <w:sectPr w:rsidR="00A748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5B"/>
    <w:rsid w:val="001B409C"/>
    <w:rsid w:val="001E6497"/>
    <w:rsid w:val="006C1118"/>
    <w:rsid w:val="006F1560"/>
    <w:rsid w:val="00764AE9"/>
    <w:rsid w:val="008E670A"/>
    <w:rsid w:val="00A7486B"/>
    <w:rsid w:val="00B57F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E670A"/>
    <w:rPr>
      <w:color w:val="808080"/>
    </w:rPr>
  </w:style>
  <w:style w:type="paragraph" w:styleId="Textodeglobo">
    <w:name w:val="Balloon Text"/>
    <w:basedOn w:val="Normal"/>
    <w:link w:val="TextodegloboCar"/>
    <w:uiPriority w:val="99"/>
    <w:semiHidden/>
    <w:unhideWhenUsed/>
    <w:rsid w:val="008E67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670A"/>
    <w:rPr>
      <w:rFonts w:ascii="Tahoma" w:hAnsi="Tahoma" w:cs="Tahoma"/>
      <w:sz w:val="16"/>
      <w:szCs w:val="16"/>
    </w:rPr>
  </w:style>
  <w:style w:type="paragraph" w:styleId="Sinespaciado">
    <w:name w:val="No Spacing"/>
    <w:uiPriority w:val="1"/>
    <w:qFormat/>
    <w:rsid w:val="00A7486B"/>
    <w:pPr>
      <w:spacing w:after="0" w:line="240" w:lineRule="auto"/>
    </w:pPr>
  </w:style>
  <w:style w:type="table" w:styleId="Tablaconcuadrcula">
    <w:name w:val="Table Grid"/>
    <w:basedOn w:val="Tablanormal"/>
    <w:uiPriority w:val="59"/>
    <w:rsid w:val="00A74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E670A"/>
    <w:rPr>
      <w:color w:val="808080"/>
    </w:rPr>
  </w:style>
  <w:style w:type="paragraph" w:styleId="Textodeglobo">
    <w:name w:val="Balloon Text"/>
    <w:basedOn w:val="Normal"/>
    <w:link w:val="TextodegloboCar"/>
    <w:uiPriority w:val="99"/>
    <w:semiHidden/>
    <w:unhideWhenUsed/>
    <w:rsid w:val="008E67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670A"/>
    <w:rPr>
      <w:rFonts w:ascii="Tahoma" w:hAnsi="Tahoma" w:cs="Tahoma"/>
      <w:sz w:val="16"/>
      <w:szCs w:val="16"/>
    </w:rPr>
  </w:style>
  <w:style w:type="paragraph" w:styleId="Sinespaciado">
    <w:name w:val="No Spacing"/>
    <w:uiPriority w:val="1"/>
    <w:qFormat/>
    <w:rsid w:val="00A7486B"/>
    <w:pPr>
      <w:spacing w:after="0" w:line="240" w:lineRule="auto"/>
    </w:pPr>
  </w:style>
  <w:style w:type="table" w:styleId="Tablaconcuadrcula">
    <w:name w:val="Table Grid"/>
    <w:basedOn w:val="Tablanormal"/>
    <w:uiPriority w:val="59"/>
    <w:rsid w:val="00A74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233</Words>
  <Characters>1284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cp:lastModifiedBy>
  <cp:revision>9</cp:revision>
  <dcterms:created xsi:type="dcterms:W3CDTF">2017-01-16T18:05:00Z</dcterms:created>
  <dcterms:modified xsi:type="dcterms:W3CDTF">2017-02-19T17:09:00Z</dcterms:modified>
</cp:coreProperties>
</file>