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36" w:rsidRDefault="002B21A0" w:rsidP="002B21A0">
      <w:pPr>
        <w:spacing w:line="360" w:lineRule="auto"/>
        <w:jc w:val="both"/>
        <w:rPr>
          <w:rFonts w:ascii="Times New Roman" w:hAnsi="Times New Roman" w:cs="Times New Roman"/>
          <w:b/>
          <w:sz w:val="24"/>
          <w:szCs w:val="24"/>
        </w:rPr>
      </w:pPr>
      <w:r>
        <w:rPr>
          <w:rFonts w:ascii="Times New Roman" w:hAnsi="Times New Roman" w:cs="Times New Roman"/>
          <w:b/>
          <w:sz w:val="24"/>
          <w:szCs w:val="24"/>
        </w:rPr>
        <w:t>Memoria final Grupo Trabajo Bilingüismo</w:t>
      </w:r>
      <w:r w:rsidR="00322CDF">
        <w:rPr>
          <w:rFonts w:ascii="Times New Roman" w:hAnsi="Times New Roman" w:cs="Times New Roman"/>
          <w:b/>
          <w:sz w:val="24"/>
          <w:szCs w:val="24"/>
        </w:rPr>
        <w:t>. Eduardo Parra</w:t>
      </w:r>
      <w:bookmarkStart w:id="0" w:name="_GoBack"/>
      <w:bookmarkEnd w:id="0"/>
    </w:p>
    <w:p w:rsidR="00C016D9" w:rsidRDefault="00C016D9" w:rsidP="00F86ED1">
      <w:pPr>
        <w:spacing w:line="360" w:lineRule="auto"/>
        <w:jc w:val="both"/>
        <w:rPr>
          <w:rFonts w:ascii="Times New Roman" w:hAnsi="Times New Roman" w:cs="Times New Roman"/>
          <w:b/>
          <w:sz w:val="24"/>
          <w:szCs w:val="24"/>
        </w:rPr>
      </w:pPr>
      <w:r w:rsidRPr="00C016D9">
        <w:rPr>
          <w:rFonts w:ascii="Times New Roman" w:hAnsi="Times New Roman" w:cs="Times New Roman"/>
          <w:b/>
          <w:sz w:val="24"/>
          <w:szCs w:val="24"/>
        </w:rPr>
        <w:t>1.</w:t>
      </w:r>
      <w:r>
        <w:rPr>
          <w:rFonts w:ascii="Times New Roman" w:hAnsi="Times New Roman" w:cs="Times New Roman"/>
          <w:b/>
          <w:sz w:val="24"/>
          <w:szCs w:val="24"/>
        </w:rPr>
        <w:t xml:space="preserve"> </w:t>
      </w:r>
      <w:r w:rsidR="002B21A0" w:rsidRPr="00C016D9">
        <w:rPr>
          <w:rFonts w:ascii="Times New Roman" w:hAnsi="Times New Roman" w:cs="Times New Roman"/>
          <w:b/>
          <w:sz w:val="24"/>
          <w:szCs w:val="24"/>
        </w:rPr>
        <w:t>Tareas realizadas, materiales elaborados y su aplicación en el aula</w:t>
      </w:r>
    </w:p>
    <w:p w:rsidR="00F86ED1" w:rsidRDefault="00F86ED1" w:rsidP="00F86ED1">
      <w:pPr>
        <w:spacing w:line="360" w:lineRule="auto"/>
        <w:jc w:val="both"/>
        <w:rPr>
          <w:rFonts w:ascii="Times New Roman" w:hAnsi="Times New Roman" w:cs="Times New Roman"/>
          <w:sz w:val="24"/>
          <w:szCs w:val="24"/>
        </w:rPr>
      </w:pPr>
      <w:r>
        <w:rPr>
          <w:rFonts w:ascii="Times New Roman" w:hAnsi="Times New Roman" w:cs="Times New Roman"/>
          <w:sz w:val="24"/>
          <w:szCs w:val="24"/>
        </w:rPr>
        <w:t>En primer lugar, debemos destacar la realización de dos unidades AICLE. En primer lugar, completamos una sobre temas relacionados con el medio ambiente, mientras que la segunda tuvo a Grecia y los JJOO como eje central. En ambas nos coordinamos con los distintos departamentos y el resultado ha sido satisfactorio.</w:t>
      </w:r>
    </w:p>
    <w:p w:rsidR="00F86ED1" w:rsidRDefault="00F86ED1" w:rsidP="00F86ED1">
      <w:pPr>
        <w:spacing w:line="360" w:lineRule="auto"/>
        <w:jc w:val="both"/>
        <w:rPr>
          <w:rFonts w:ascii="Times New Roman" w:hAnsi="Times New Roman" w:cs="Times New Roman"/>
          <w:sz w:val="24"/>
          <w:szCs w:val="24"/>
        </w:rPr>
      </w:pPr>
      <w:r>
        <w:rPr>
          <w:rFonts w:ascii="Times New Roman" w:hAnsi="Times New Roman" w:cs="Times New Roman"/>
          <w:sz w:val="24"/>
          <w:szCs w:val="24"/>
        </w:rPr>
        <w:t>Aparte de esta unidad, en el departamento de Ciencias Sociales nos hemos dotado de una serie de materiales, elaborados o bien sacados de libros o internet, con el que trabajar. Además, estos materiales serán de utilidad para ser actualizados en años posteriores.</w:t>
      </w:r>
    </w:p>
    <w:p w:rsidR="00F86ED1" w:rsidRPr="00F86ED1" w:rsidRDefault="00F86ED1" w:rsidP="00F86E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el cuadernillo bilingüe que nos proporcionó la editorial </w:t>
      </w:r>
      <w:proofErr w:type="spellStart"/>
      <w:r>
        <w:rPr>
          <w:rFonts w:ascii="Times New Roman" w:hAnsi="Times New Roman" w:cs="Times New Roman"/>
          <w:sz w:val="24"/>
          <w:szCs w:val="24"/>
        </w:rPr>
        <w:t>Vicens</w:t>
      </w:r>
      <w:proofErr w:type="spellEnd"/>
      <w:r>
        <w:rPr>
          <w:rFonts w:ascii="Times New Roman" w:hAnsi="Times New Roman" w:cs="Times New Roman"/>
          <w:sz w:val="24"/>
          <w:szCs w:val="24"/>
        </w:rPr>
        <w:t xml:space="preserve"> Vives fue una gran ayuda en el aula. Este contiene la misma información que el libro en castellano, aunque resumida, por lo que hemos podido alcanzar el 50% en nuestras enseñanzas en inglés.</w:t>
      </w:r>
    </w:p>
    <w:p w:rsidR="002B21A0" w:rsidRDefault="002B21A0" w:rsidP="002B21A0">
      <w:pPr>
        <w:spacing w:line="360" w:lineRule="auto"/>
        <w:jc w:val="both"/>
        <w:rPr>
          <w:rFonts w:ascii="Times New Roman" w:hAnsi="Times New Roman" w:cs="Times New Roman"/>
          <w:b/>
          <w:sz w:val="24"/>
          <w:szCs w:val="24"/>
        </w:rPr>
      </w:pPr>
      <w:r>
        <w:rPr>
          <w:rFonts w:ascii="Times New Roman" w:hAnsi="Times New Roman" w:cs="Times New Roman"/>
          <w:b/>
          <w:sz w:val="24"/>
          <w:szCs w:val="24"/>
        </w:rPr>
        <w:t>2. Comentario de los resultados obtenidos</w:t>
      </w:r>
    </w:p>
    <w:p w:rsidR="00F86ED1" w:rsidRDefault="00F86ED1" w:rsidP="002B21A0">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 los resultados, estos han sido positivos. En mi caso, contaba con un grupo, 1º D, con unos resultados que solo pueden calificarse como desastrosos en la evaluación inicial en inglés. En general, los niños han visto mejorar sus habilidades en inglés.</w:t>
      </w:r>
    </w:p>
    <w:p w:rsidR="00F86ED1" w:rsidRPr="00F86ED1" w:rsidRDefault="00F86ED1" w:rsidP="002B21A0">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estos han demostrado especial interés en las unidades AICLE, por cuanto se fomentaba mucho más el trabajo colaborativo. Estos han trabajado de mejor forma en este tipo de unidades y han visto como los conocimientos quedaban mejor asentados.</w:t>
      </w:r>
    </w:p>
    <w:p w:rsidR="002B21A0" w:rsidRDefault="002B21A0" w:rsidP="002B21A0">
      <w:pPr>
        <w:spacing w:line="360" w:lineRule="auto"/>
        <w:jc w:val="both"/>
        <w:rPr>
          <w:rFonts w:ascii="Times New Roman" w:hAnsi="Times New Roman" w:cs="Times New Roman"/>
          <w:b/>
          <w:sz w:val="24"/>
          <w:szCs w:val="24"/>
        </w:rPr>
      </w:pPr>
      <w:r>
        <w:rPr>
          <w:rFonts w:ascii="Times New Roman" w:hAnsi="Times New Roman" w:cs="Times New Roman"/>
          <w:b/>
          <w:sz w:val="24"/>
          <w:szCs w:val="24"/>
        </w:rPr>
        <w:t>3. Dificultades surgidas y cómo se han solventado</w:t>
      </w:r>
    </w:p>
    <w:p w:rsidR="00F86ED1" w:rsidRDefault="00F86ED1" w:rsidP="002B21A0">
      <w:pPr>
        <w:spacing w:line="360" w:lineRule="auto"/>
        <w:jc w:val="both"/>
        <w:rPr>
          <w:rFonts w:ascii="Times New Roman" w:hAnsi="Times New Roman" w:cs="Times New Roman"/>
          <w:sz w:val="24"/>
          <w:szCs w:val="24"/>
        </w:rPr>
      </w:pPr>
      <w:r>
        <w:rPr>
          <w:rFonts w:ascii="Times New Roman" w:hAnsi="Times New Roman" w:cs="Times New Roman"/>
          <w:sz w:val="24"/>
          <w:szCs w:val="24"/>
        </w:rPr>
        <w:t>Las dificultades han venido dadas por las características del grupo. En él se incluían un buen número de alumnos muy disruptivos, alumnos que no conocían ninguno de los dos idiomas en los que se impartía clase, alumnos que acudían a apoyo en algunas de las sesiones, y otros que mostraban un desinterés total por la asignatura. Esto se ha intentado paliar haciendo actividades mucho más dinámicas, especialmente en las unidades AICLE, pero no siempre se ha solucionado. Los problemas del curso de 1º D, en el que impartía docencia, son muy profundos y van más allá de lo que un solo profesor puede realizar en un aula, ya que son circunstancias familiares y sociales las que afectan en la mayoría de los casos.</w:t>
      </w:r>
    </w:p>
    <w:p w:rsidR="00F86ED1" w:rsidRPr="00F86ED1" w:rsidRDefault="00F86ED1" w:rsidP="002B21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Además, el nivel de inglés de la clase era bajo, por lo que se ha tenido que hacer un esfuerzo por adaptar los materiales a los alumnos, habida cuenta de que la parte de historia ha contado con un refuerzo del tiempo verbal en pasado, el cual no manejaban con soltura.</w:t>
      </w:r>
    </w:p>
    <w:p w:rsidR="002B21A0" w:rsidRDefault="002B21A0" w:rsidP="002B21A0">
      <w:pPr>
        <w:spacing w:line="360" w:lineRule="auto"/>
        <w:jc w:val="both"/>
        <w:rPr>
          <w:rFonts w:ascii="Times New Roman" w:hAnsi="Times New Roman" w:cs="Times New Roman"/>
          <w:b/>
          <w:sz w:val="24"/>
          <w:szCs w:val="24"/>
        </w:rPr>
      </w:pPr>
      <w:r>
        <w:rPr>
          <w:rFonts w:ascii="Times New Roman" w:hAnsi="Times New Roman" w:cs="Times New Roman"/>
          <w:b/>
          <w:sz w:val="24"/>
          <w:szCs w:val="24"/>
        </w:rPr>
        <w:t>4. Conclusiones</w:t>
      </w:r>
    </w:p>
    <w:p w:rsidR="00C016D9" w:rsidRDefault="00C016D9" w:rsidP="002B2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Podemos decir, sin miedo a equivocarnos, que los objetivos del año “0” de aplicación del bilingüismo en el IES Nueva Andalucía se han cumplido. Éramos precavido al principio del curso, ya que el alumnado procedía de colegios no bilingües, así como era sabida la problemática que existe en el centro en 1º de la ESO. Sin embargo, los grupos han respondido en cierta manera a las enseñanzas en inglés, de una forma parecida a la que lo han hecho en español. Los niños que están interesados en la asignatura no se han visto perjudicados por la enseñanza bilingüe, sino que están viendo </w:t>
      </w:r>
      <w:proofErr w:type="spellStart"/>
      <w:r>
        <w:rPr>
          <w:rFonts w:ascii="Times New Roman" w:hAnsi="Times New Roman" w:cs="Times New Roman"/>
          <w:sz w:val="24"/>
          <w:szCs w:val="24"/>
        </w:rPr>
        <w:t>como</w:t>
      </w:r>
      <w:proofErr w:type="spellEnd"/>
      <w:r>
        <w:rPr>
          <w:rFonts w:ascii="Times New Roman" w:hAnsi="Times New Roman" w:cs="Times New Roman"/>
          <w:sz w:val="24"/>
          <w:szCs w:val="24"/>
        </w:rPr>
        <w:t xml:space="preserve"> se mejoran sus destrezas en la otra lengua.</w:t>
      </w:r>
    </w:p>
    <w:p w:rsidR="00C016D9" w:rsidRPr="00C016D9" w:rsidRDefault="00C016D9" w:rsidP="002B21A0">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 nivel técnico, el año ha sido productivo en cuanto a la producción de materiales. Se han desarrollado dos unidades AICLE, con lo que se ha desarrollado un material que se irá trabajando durante los años siguientes. Asimismo, el clima de trabajo con el grupo de trabajo ha sido excelente, con lo que se han sentado las bases para los próximos años.</w:t>
      </w:r>
    </w:p>
    <w:p w:rsidR="002B21A0" w:rsidRDefault="002B21A0" w:rsidP="002B21A0">
      <w:pPr>
        <w:spacing w:line="360" w:lineRule="auto"/>
        <w:jc w:val="both"/>
        <w:rPr>
          <w:rFonts w:ascii="Times New Roman" w:hAnsi="Times New Roman" w:cs="Times New Roman"/>
          <w:b/>
          <w:sz w:val="24"/>
          <w:szCs w:val="24"/>
        </w:rPr>
      </w:pPr>
      <w:r>
        <w:rPr>
          <w:rFonts w:ascii="Times New Roman" w:hAnsi="Times New Roman" w:cs="Times New Roman"/>
          <w:b/>
          <w:sz w:val="24"/>
          <w:szCs w:val="24"/>
        </w:rPr>
        <w:t>5. Perspectivas de continuidad para el próximo curso</w:t>
      </w:r>
    </w:p>
    <w:p w:rsidR="002B21A0" w:rsidRDefault="00C016D9" w:rsidP="002B21A0">
      <w:pPr>
        <w:spacing w:line="360" w:lineRule="auto"/>
        <w:jc w:val="both"/>
        <w:rPr>
          <w:rFonts w:ascii="Times New Roman" w:hAnsi="Times New Roman" w:cs="Times New Roman"/>
          <w:sz w:val="24"/>
          <w:szCs w:val="24"/>
        </w:rPr>
      </w:pPr>
      <w:r>
        <w:rPr>
          <w:rFonts w:ascii="Times New Roman" w:hAnsi="Times New Roman" w:cs="Times New Roman"/>
          <w:sz w:val="24"/>
          <w:szCs w:val="24"/>
        </w:rPr>
        <w:t>Desde mi punto de vista, mi continuidad en el centro es casi de total certeza. Por lo tanto, el año que viene nuestra pretensión es seguir desarrollando este plan de bilingüismo. En principio repetiremos todo el personal del departamento de Ciencias Sociales, lo que sin duda ayudará a ello, ya que tendremos un bagaje previo en común.</w:t>
      </w:r>
    </w:p>
    <w:p w:rsidR="00C016D9" w:rsidRDefault="00C016D9" w:rsidP="002B21A0">
      <w:pPr>
        <w:spacing w:line="360" w:lineRule="auto"/>
        <w:jc w:val="both"/>
        <w:rPr>
          <w:rFonts w:ascii="Times New Roman" w:hAnsi="Times New Roman" w:cs="Times New Roman"/>
          <w:sz w:val="24"/>
          <w:szCs w:val="24"/>
        </w:rPr>
      </w:pPr>
      <w:r>
        <w:rPr>
          <w:rFonts w:ascii="Times New Roman" w:hAnsi="Times New Roman" w:cs="Times New Roman"/>
          <w:sz w:val="24"/>
          <w:szCs w:val="24"/>
        </w:rPr>
        <w:t>El próximo curso ya contaremos con una serie de materiales para 1º de la ESO, con lo que ya tenemos una base de la que partir. Igualmente, ese será nuestro punto de arranque para trabajar con 2º de la ESO, que el año que viene pasa a ser bilingüe.</w:t>
      </w:r>
    </w:p>
    <w:p w:rsidR="00C016D9" w:rsidRPr="00C016D9" w:rsidRDefault="00C016D9" w:rsidP="002B21A0">
      <w:pPr>
        <w:spacing w:line="360" w:lineRule="auto"/>
        <w:jc w:val="both"/>
        <w:rPr>
          <w:rFonts w:ascii="Times New Roman" w:hAnsi="Times New Roman" w:cs="Times New Roman"/>
          <w:sz w:val="24"/>
          <w:szCs w:val="24"/>
        </w:rPr>
      </w:pPr>
      <w:r>
        <w:rPr>
          <w:rFonts w:ascii="Times New Roman" w:hAnsi="Times New Roman" w:cs="Times New Roman"/>
          <w:sz w:val="24"/>
          <w:szCs w:val="24"/>
        </w:rPr>
        <w:t>Por ello, creo que el siguiente va a ser un año clave. Ya conocemos la forma de trabajo y tenemos la experiencia del año pasado, así como los niños que acceden a 2º de la ESO ya habrán tenido una experiencia bilingüe durante el año anterior. Además, habremos completado la enseñanza bilingüe en dos cursos complicados, como 1º y 2º de la ESO, por lo que gran parte de la implantación estará conseguida.</w:t>
      </w:r>
    </w:p>
    <w:sectPr w:rsidR="00C016D9" w:rsidRPr="00C016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053B"/>
    <w:multiLevelType w:val="hybridMultilevel"/>
    <w:tmpl w:val="E880F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E4A3425"/>
    <w:multiLevelType w:val="hybridMultilevel"/>
    <w:tmpl w:val="C5DC2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A0"/>
    <w:rsid w:val="002B21A0"/>
    <w:rsid w:val="00322CDF"/>
    <w:rsid w:val="00760336"/>
    <w:rsid w:val="00C016D9"/>
    <w:rsid w:val="00F86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6A69"/>
  <w15:chartTrackingRefBased/>
  <w15:docId w15:val="{8C6F862F-0F22-4EA7-ADDD-50FD7F37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3</cp:revision>
  <dcterms:created xsi:type="dcterms:W3CDTF">2017-05-26T14:57:00Z</dcterms:created>
  <dcterms:modified xsi:type="dcterms:W3CDTF">2017-05-26T15:17:00Z</dcterms:modified>
</cp:coreProperties>
</file>