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DB" w:rsidRPr="005755BF" w:rsidRDefault="00900B44">
      <w:pPr>
        <w:pStyle w:val="Cuerpo"/>
        <w:jc w:val="both"/>
        <w:rPr>
          <w:rStyle w:val="Ninguno"/>
          <w:b/>
          <w:bCs/>
          <w:color w:val="auto"/>
          <w:u w:val="single"/>
        </w:rPr>
      </w:pPr>
      <w:r w:rsidRPr="005755BF">
        <w:rPr>
          <w:rStyle w:val="Ninguno"/>
          <w:b/>
          <w:bCs/>
          <w:color w:val="auto"/>
          <w:u w:val="single"/>
        </w:rPr>
        <w:t>PLAN DE ACTUACI</w:t>
      </w:r>
      <w:r w:rsidRPr="005755BF">
        <w:rPr>
          <w:rStyle w:val="Ninguno"/>
          <w:b/>
          <w:bCs/>
          <w:color w:val="auto"/>
          <w:u w:val="single"/>
        </w:rPr>
        <w:t>Ó</w:t>
      </w:r>
      <w:r w:rsidRPr="005755BF">
        <w:rPr>
          <w:rStyle w:val="Ninguno"/>
          <w:b/>
          <w:bCs/>
          <w:color w:val="auto"/>
          <w:u w:val="single"/>
          <w:lang w:val="de-DE"/>
        </w:rPr>
        <w:t>N DEL TERCER A</w:t>
      </w:r>
      <w:r w:rsidRPr="005755BF">
        <w:rPr>
          <w:rStyle w:val="Ninguno"/>
          <w:b/>
          <w:bCs/>
          <w:color w:val="auto"/>
          <w:u w:val="single"/>
        </w:rPr>
        <w:t>Ñ</w:t>
      </w:r>
      <w:r w:rsidRPr="005755BF">
        <w:rPr>
          <w:rStyle w:val="Ninguno"/>
          <w:b/>
          <w:bCs/>
          <w:color w:val="auto"/>
          <w:u w:val="single"/>
        </w:rPr>
        <w:t>O</w:t>
      </w:r>
    </w:p>
    <w:p w:rsidR="00257CDB" w:rsidRPr="005755BF" w:rsidRDefault="00900B44">
      <w:pPr>
        <w:pStyle w:val="Cuerpo"/>
        <w:jc w:val="both"/>
        <w:rPr>
          <w:rStyle w:val="Ninguno"/>
          <w:b/>
          <w:bCs/>
          <w:color w:val="auto"/>
          <w:u w:val="single"/>
        </w:rPr>
      </w:pPr>
      <w:r w:rsidRPr="005755BF">
        <w:rPr>
          <w:rStyle w:val="Ninguno"/>
          <w:b/>
          <w:bCs/>
          <w:color w:val="auto"/>
          <w:u w:val="single"/>
          <w:lang w:val="en-US"/>
        </w:rPr>
        <w:t>PROYECTO LING</w:t>
      </w:r>
      <w:r w:rsidRPr="005755BF">
        <w:rPr>
          <w:rStyle w:val="Ninguno"/>
          <w:b/>
          <w:bCs/>
          <w:color w:val="auto"/>
          <w:u w:val="single"/>
        </w:rPr>
        <w:t>ÜÍ</w:t>
      </w:r>
      <w:r w:rsidRPr="005755BF">
        <w:rPr>
          <w:rStyle w:val="Ninguno"/>
          <w:b/>
          <w:bCs/>
          <w:color w:val="auto"/>
          <w:u w:val="single"/>
        </w:rPr>
        <w:t>STICO DE CENTRO</w:t>
      </w: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  <w:r w:rsidRPr="005755BF">
        <w:rPr>
          <w:rStyle w:val="Ninguno"/>
          <w:color w:val="auto"/>
        </w:rPr>
        <w:pict>
          <v:group id="_x0000_s1026" style="position:absolute;left:0;text-align:left;margin-left:61.2pt;margin-top:18.8pt;width:348pt;height:152.2pt;z-index:251659264;mso-wrap-distance-left:0;mso-wrap-distance-right:0;mso-position-vertical-relative:line" coordsize="4419600,1933575">
            <v:shape id="_x0000_s1027" style="position:absolute;width:4419600;height:1933575" coordsize="21600,21600" path="m,4050c,3304,264,2700,591,2700r19828,l20419,1350c20419,604,20683,,21009,v327,,591,604,591,1350l21600,17550v,746,-264,1350,-591,1350l1181,18900r,1350c1181,20996,917,21600,591,21600,264,21600,,20996,,20250xe" strokeweight=".8pt"/>
            <v:shape id="_x0000_s1028" style="position:absolute;left:120850;top:302121;width:120849;height:181273" coordsize="21600,21600" path="m,21600v11929,,21600,-6447,21600,-14400c21600,3224,16765,,10800,,4835,,,3224,,7200l,21600xe" fillcolor="#ccc" stroked="f" strokeweight="1pt">
              <v:stroke miterlimit="4" joinstyle="miter"/>
            </v:shape>
            <v:shape id="_x0000_s1029" style="position:absolute;left:4177901;width:241699;height:241697" coordsize="21600,21600" path="m21600,10800v,5965,-4835,10800,-10800,10800l10800,10800v,2982,-2418,5400,-5400,5400c2418,16200,,13782,,10800,,4835,4835,,10800,v5965,,10800,4835,10800,10800xe" fillcolor="#ccc" stroked="f" strokeweight="1pt">
              <v:stroke miterlimit="4" joinstyle="miter"/>
            </v:shape>
            <v:shape id="_x0000_s1030" style="position:absolute;top:120848;width:4419600;height:1571030" coordsize="21600,21600" o:spt="100" adj="0,,0" path="m,3323v,918,264,1662,591,1662c917,4985,1181,4241,1181,3323v,-459,-132,-831,-295,-831c723,2492,591,2864,591,3323r,1662m1181,3323r,18277m21600,v,918,-264,1662,-591,1662l20419,1662m20419,v,459,132,831,295,831c20877,831,21009,459,21009,r,1662e" filled="f" strokeweight=".8pt">
              <v:stroke joinstyle="round"/>
              <v:formulas/>
              <v:path o:connecttype="segments"/>
            </v:shape>
            <v:rect id="_x0000_s1031" style="position:absolute;left:241699;top:241697;width:4057052;height:1450181" filled="f" stroked="f" strokeweight="1pt">
              <v:stroke miterlimit="4"/>
              <v:textbox>
                <w:txbxContent>
                  <w:p w:rsidR="00257CDB" w:rsidRDefault="00900B44">
                    <w:pPr>
                      <w:pStyle w:val="Cuerpo"/>
                    </w:pPr>
                    <w:r>
                      <w:rPr>
                        <w:rStyle w:val="Ninguno"/>
                        <w:rFonts w:ascii="Castellar" w:eastAsia="Castellar" w:hAnsi="Castellar" w:cs="Castellar"/>
                        <w:sz w:val="220"/>
                        <w:szCs w:val="220"/>
                      </w:rPr>
                      <w:t>PLC</w:t>
                    </w:r>
                  </w:p>
                </w:txbxContent>
              </v:textbox>
            </v:rect>
          </v:group>
        </w:pict>
      </w: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</w:p>
    <w:p w:rsidR="00257CDB" w:rsidRPr="005755BF" w:rsidRDefault="00257CDB">
      <w:pPr>
        <w:pStyle w:val="Cuerpo"/>
        <w:jc w:val="both"/>
        <w:rPr>
          <w:rStyle w:val="Ninguno"/>
          <w:b/>
          <w:bCs/>
          <w:color w:val="auto"/>
          <w:u w:val="single"/>
        </w:rPr>
      </w:pPr>
    </w:p>
    <w:tbl>
      <w:tblPr>
        <w:tblStyle w:val="TableNormal"/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161"/>
        <w:gridCol w:w="2161"/>
        <w:gridCol w:w="2161"/>
        <w:gridCol w:w="2161"/>
      </w:tblGrid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Código de Centro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Denominación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Localidad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Bilingüe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04001291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CEEEC de Apoyo a la Integración de Sordos Rosa Relaño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Almería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Si 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(Lengua Española/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Lengua de </w:t>
            </w:r>
            <w:r w:rsidRPr="005755BF">
              <w:rPr>
                <w:rStyle w:val="Ninguno"/>
                <w:color w:val="auto"/>
              </w:rPr>
              <w:t>Signos Española)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lastRenderedPageBreak/>
              <w:t>Coordinador</w:t>
            </w:r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Francisco Amat Figueroa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Año de permanencia</w:t>
            </w:r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Tercero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Curso </w:t>
            </w:r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2016/2017</w:t>
            </w:r>
          </w:p>
        </w:tc>
      </w:tr>
    </w:tbl>
    <w:p w:rsidR="00257CDB" w:rsidRPr="005755BF" w:rsidRDefault="00257CDB">
      <w:pPr>
        <w:pStyle w:val="Cuerpo"/>
        <w:widowControl w:val="0"/>
        <w:spacing w:line="240" w:lineRule="auto"/>
        <w:jc w:val="both"/>
        <w:rPr>
          <w:rStyle w:val="Ninguno"/>
          <w:b/>
          <w:bCs/>
          <w:color w:val="auto"/>
          <w:u w:val="single"/>
        </w:rPr>
      </w:pPr>
    </w:p>
    <w:p w:rsidR="00257CDB" w:rsidRPr="005755BF" w:rsidRDefault="00257CDB">
      <w:pPr>
        <w:pStyle w:val="Cuerpo"/>
        <w:jc w:val="both"/>
        <w:rPr>
          <w:color w:val="auto"/>
        </w:rPr>
      </w:pPr>
    </w:p>
    <w:p w:rsidR="00257CDB" w:rsidRPr="005755BF" w:rsidRDefault="00257CDB">
      <w:pPr>
        <w:pStyle w:val="Cuerpo"/>
        <w:jc w:val="both"/>
        <w:rPr>
          <w:color w:val="auto"/>
        </w:rPr>
      </w:pPr>
    </w:p>
    <w:p w:rsidR="00257CDB" w:rsidRPr="005755BF" w:rsidRDefault="00900B44">
      <w:pPr>
        <w:pStyle w:val="Cuerpo"/>
        <w:jc w:val="both"/>
        <w:rPr>
          <w:rStyle w:val="Ninguno"/>
          <w:b/>
          <w:bCs/>
          <w:color w:val="auto"/>
        </w:rPr>
      </w:pPr>
      <w:r w:rsidRPr="005755BF">
        <w:rPr>
          <w:rStyle w:val="Ninguno"/>
          <w:b/>
          <w:bCs/>
          <w:color w:val="auto"/>
          <w:lang w:val="de-DE"/>
        </w:rPr>
        <w:t>INTRODUCCI</w:t>
      </w:r>
      <w:r w:rsidRPr="005755BF">
        <w:rPr>
          <w:rStyle w:val="Ninguno"/>
          <w:b/>
          <w:bCs/>
          <w:color w:val="auto"/>
        </w:rPr>
        <w:t>Ó</w:t>
      </w:r>
      <w:r w:rsidRPr="005755BF">
        <w:rPr>
          <w:rStyle w:val="Ninguno"/>
          <w:b/>
          <w:bCs/>
          <w:color w:val="auto"/>
          <w:lang w:val="pt-PT"/>
        </w:rPr>
        <w:t>N. SITUACI</w:t>
      </w:r>
      <w:r w:rsidRPr="005755BF">
        <w:rPr>
          <w:rStyle w:val="Ninguno"/>
          <w:b/>
          <w:bCs/>
          <w:color w:val="auto"/>
        </w:rPr>
        <w:t>ÓN INICIAL.-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Un centro como el nuestro, un centro espec</w:t>
      </w:r>
      <w:r w:rsidRPr="005755BF">
        <w:rPr>
          <w:color w:val="auto"/>
        </w:rPr>
        <w:t>í</w:t>
      </w:r>
      <w:r w:rsidRPr="005755BF">
        <w:rPr>
          <w:color w:val="auto"/>
        </w:rPr>
        <w:t xml:space="preserve">fico de educación especial que atiende al  alumnado con diferentes </w:t>
      </w:r>
      <w:r w:rsidRPr="005755BF">
        <w:rPr>
          <w:color w:val="auto"/>
        </w:rPr>
        <w:t>capacidades auditivas, debe de dar respuesta a las necesidades comunicativas de los mismos.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Por un lado pretendemos planificar las l</w:t>
      </w:r>
      <w:r w:rsidRPr="005755BF">
        <w:rPr>
          <w:color w:val="auto"/>
        </w:rPr>
        <w:t>í</w:t>
      </w:r>
      <w:r w:rsidRPr="005755BF">
        <w:rPr>
          <w:color w:val="auto"/>
        </w:rPr>
        <w:t>neas b</w:t>
      </w:r>
      <w:r w:rsidRPr="005755BF">
        <w:rPr>
          <w:color w:val="auto"/>
        </w:rPr>
        <w:t>á</w:t>
      </w:r>
      <w:r w:rsidRPr="005755BF">
        <w:rPr>
          <w:color w:val="auto"/>
        </w:rPr>
        <w:t>sicas del desarrollo del lenguaje en los alumnos sordos que sirvan para programar las habilidades ling</w:t>
      </w:r>
      <w:r w:rsidRPr="005755BF">
        <w:rPr>
          <w:color w:val="auto"/>
        </w:rPr>
        <w:t>üí</w:t>
      </w:r>
      <w:r w:rsidRPr="005755BF">
        <w:rPr>
          <w:color w:val="auto"/>
        </w:rPr>
        <w:t>sticas despu</w:t>
      </w:r>
      <w:r w:rsidRPr="005755BF">
        <w:rPr>
          <w:color w:val="auto"/>
          <w:lang w:val="fr-FR"/>
        </w:rPr>
        <w:t>é</w:t>
      </w:r>
      <w:r w:rsidRPr="005755BF">
        <w:rPr>
          <w:color w:val="auto"/>
        </w:rPr>
        <w:t>s de la evaluación de las mismas. De igual forma trabajamos para buscar los puntos de encuentro entre las estrategias comunicativas utilizadas en el aprendizaje de la lengua española y la lengua de signos españ</w:t>
      </w:r>
      <w:r w:rsidRPr="005755BF">
        <w:rPr>
          <w:color w:val="auto"/>
          <w:lang w:val="it-IT"/>
        </w:rPr>
        <w:t>ola.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Para favorecer la comunicación creemos i</w:t>
      </w:r>
      <w:r w:rsidRPr="005755BF">
        <w:rPr>
          <w:color w:val="auto"/>
        </w:rPr>
        <w:t>mportante el desarrollo de habilidades y destrezas cognitivas y es importante encontrar procedimientos educativos que optimicen la interacció</w:t>
      </w:r>
      <w:r w:rsidRPr="005755BF">
        <w:rPr>
          <w:color w:val="auto"/>
          <w:lang w:val="it-IT"/>
        </w:rPr>
        <w:t>n e instrucci</w:t>
      </w:r>
      <w:r w:rsidRPr="005755BF">
        <w:rPr>
          <w:color w:val="auto"/>
        </w:rPr>
        <w:t>ón en contextos naturales. La metodolog</w:t>
      </w:r>
      <w:r w:rsidRPr="005755BF">
        <w:rPr>
          <w:color w:val="auto"/>
        </w:rPr>
        <w:t>í</w:t>
      </w:r>
      <w:r w:rsidRPr="005755BF">
        <w:rPr>
          <w:color w:val="auto"/>
        </w:rPr>
        <w:t xml:space="preserve">a basada en ABP, desde una perspectiva competencial, donde se </w:t>
      </w:r>
      <w:r w:rsidRPr="005755BF">
        <w:rPr>
          <w:color w:val="auto"/>
        </w:rPr>
        <w:t>potencia la creatividad, la motivación y el esfuerzo son los pilares fundamentales para trabajar el desarrollo adecuado del lenguaje de nuestro alumnado.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Nuestro alumnado presenta unas caracter</w:t>
      </w:r>
      <w:r w:rsidRPr="005755BF">
        <w:rPr>
          <w:color w:val="auto"/>
        </w:rPr>
        <w:t>í</w:t>
      </w:r>
      <w:r w:rsidRPr="005755BF">
        <w:rPr>
          <w:color w:val="auto"/>
        </w:rPr>
        <w:t>sticas muy definidas. Por un lado todos ellos presentan discap</w:t>
      </w:r>
      <w:r w:rsidRPr="005755BF">
        <w:rPr>
          <w:color w:val="auto"/>
        </w:rPr>
        <w:t>acidad auditiva en distintos nivel de audición. Desde sorderas moderadas hasta profundas o cofosis total. Algunos presentan un lenguaje prelocutivo y otros poslocutivo dependiendo del momento en el que aparece la sordera. Seg</w:t>
      </w:r>
      <w:r w:rsidRPr="005755BF">
        <w:rPr>
          <w:color w:val="auto"/>
        </w:rPr>
        <w:t>ú</w:t>
      </w:r>
      <w:r w:rsidRPr="005755BF">
        <w:rPr>
          <w:color w:val="auto"/>
        </w:rPr>
        <w:t>n el criterio de la prótesis u</w:t>
      </w:r>
      <w:r w:rsidRPr="005755BF">
        <w:rPr>
          <w:color w:val="auto"/>
        </w:rPr>
        <w:t>tilizada unos utilizan el aud</w:t>
      </w:r>
      <w:r w:rsidRPr="005755BF">
        <w:rPr>
          <w:color w:val="auto"/>
        </w:rPr>
        <w:t>í</w:t>
      </w:r>
      <w:r w:rsidRPr="005755BF">
        <w:rPr>
          <w:color w:val="auto"/>
        </w:rPr>
        <w:t>fono en sus distintas modalidades y un porcentaje elevado es usuario del implante coclear tambi</w:t>
      </w:r>
      <w:r w:rsidRPr="005755BF">
        <w:rPr>
          <w:color w:val="auto"/>
          <w:lang w:val="fr-FR"/>
        </w:rPr>
        <w:t>é</w:t>
      </w:r>
      <w:r w:rsidRPr="005755BF">
        <w:rPr>
          <w:color w:val="auto"/>
        </w:rPr>
        <w:t>n con distintos modelos y formatos.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El Proyecto Educativo est</w:t>
      </w:r>
      <w:r w:rsidRPr="005755BF">
        <w:rPr>
          <w:color w:val="auto"/>
        </w:rPr>
        <w:t xml:space="preserve">á </w:t>
      </w:r>
      <w:r w:rsidRPr="005755BF">
        <w:rPr>
          <w:color w:val="auto"/>
        </w:rPr>
        <w:t>basado en dos pilares b</w:t>
      </w:r>
      <w:r w:rsidRPr="005755BF">
        <w:rPr>
          <w:color w:val="auto"/>
        </w:rPr>
        <w:t>á</w:t>
      </w:r>
      <w:r w:rsidRPr="005755BF">
        <w:rPr>
          <w:color w:val="auto"/>
        </w:rPr>
        <w:t>sicos: primero en una educación conjunta en</w:t>
      </w:r>
      <w:r w:rsidRPr="005755BF">
        <w:rPr>
          <w:color w:val="auto"/>
        </w:rPr>
        <w:t xml:space="preserve"> la que alumnos oyentes y alumnos sordos comparten distintas situaciones de enseñanza-aprendizaje en los mismos contextos educativos y por otra parte en una educació</w:t>
      </w:r>
      <w:r w:rsidRPr="005755BF">
        <w:rPr>
          <w:color w:val="auto"/>
        </w:rPr>
        <w:t>n bilingü</w:t>
      </w:r>
      <w:r w:rsidRPr="005755BF">
        <w:rPr>
          <w:color w:val="auto"/>
        </w:rPr>
        <w:t>e en la que se utilizan dos lenguas indistintamente como herramientas de comunicac</w:t>
      </w:r>
      <w:r w:rsidRPr="005755BF">
        <w:rPr>
          <w:color w:val="auto"/>
        </w:rPr>
        <w:t>ión y de aprendizaje de nuestro alumnado sordo: la lengua de signos española y la lengua española. Este aprendizaje abarca a toda la comunidad educativa de nuestro centro (padres, profesores y alumnos) y al alumnado de centro CEIP Freinet con el fin de fav</w:t>
      </w:r>
      <w:r w:rsidRPr="005755BF">
        <w:rPr>
          <w:color w:val="auto"/>
        </w:rPr>
        <w:t>orecer la integración y convivencia de todos los alumnos de los dos centros: Freinet y Rosa Relañ</w:t>
      </w:r>
      <w:r w:rsidRPr="005755BF">
        <w:rPr>
          <w:color w:val="auto"/>
          <w:lang w:val="it-IT"/>
        </w:rPr>
        <w:t>o.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Es necesario recordar que nuestro centro tiene car</w:t>
      </w:r>
      <w:r w:rsidRPr="005755BF">
        <w:rPr>
          <w:color w:val="auto"/>
        </w:rPr>
        <w:t>á</w:t>
      </w:r>
      <w:r w:rsidRPr="005755BF">
        <w:rPr>
          <w:color w:val="auto"/>
        </w:rPr>
        <w:t>cter provincial y todo nuestro alumnado proviene de cualquier punto de la provincia de Almer</w:t>
      </w:r>
      <w:r w:rsidRPr="005755BF">
        <w:rPr>
          <w:color w:val="auto"/>
        </w:rPr>
        <w:t>í</w:t>
      </w:r>
      <w:r w:rsidRPr="005755BF">
        <w:rPr>
          <w:color w:val="auto"/>
        </w:rPr>
        <w:t>a. La inmens</w:t>
      </w:r>
      <w:r w:rsidRPr="005755BF">
        <w:rPr>
          <w:color w:val="auto"/>
        </w:rPr>
        <w:t>a mayor</w:t>
      </w:r>
      <w:r w:rsidRPr="005755BF">
        <w:rPr>
          <w:color w:val="auto"/>
        </w:rPr>
        <w:t>í</w:t>
      </w:r>
      <w:r w:rsidRPr="005755BF">
        <w:rPr>
          <w:color w:val="auto"/>
        </w:rPr>
        <w:t xml:space="preserve">a son usuarios del </w:t>
      </w:r>
      <w:r w:rsidRPr="005755BF">
        <w:rPr>
          <w:color w:val="auto"/>
        </w:rPr>
        <w:lastRenderedPageBreak/>
        <w:t>transporte escolar y del servicio de comedor. Estas caracter</w:t>
      </w:r>
      <w:r w:rsidRPr="005755BF">
        <w:rPr>
          <w:color w:val="auto"/>
        </w:rPr>
        <w:t>í</w:t>
      </w:r>
      <w:r w:rsidRPr="005755BF">
        <w:rPr>
          <w:color w:val="auto"/>
        </w:rPr>
        <w:t>sticas condicionan nuestro proyecto educativo.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 xml:space="preserve">El curso anterior ya iniciamos la modificación del Proyecto educativo de nuestro y la apuesta decidida por el PLC supone </w:t>
      </w:r>
      <w:r w:rsidRPr="005755BF">
        <w:rPr>
          <w:color w:val="auto"/>
        </w:rPr>
        <w:t>un punto añadido en la reflexión necesaria, o mejor imprescindible, para desarrollar un curr</w:t>
      </w:r>
      <w:r w:rsidRPr="005755BF">
        <w:rPr>
          <w:color w:val="auto"/>
        </w:rPr>
        <w:t>í</w:t>
      </w:r>
      <w:r w:rsidRPr="005755BF">
        <w:rPr>
          <w:color w:val="auto"/>
        </w:rPr>
        <w:t>culum ajustado a las necesidades que presentan los alumnos y alumnas sordos. El encontrarnos ya en el tercer año del PLC supone encontrarnos en el marco de la eval</w:t>
      </w:r>
      <w:r w:rsidRPr="005755BF">
        <w:rPr>
          <w:color w:val="auto"/>
        </w:rPr>
        <w:t>uación de la praxis llevada a cabo el curso anterior. Este curso valoraremos nuestra pr</w:t>
      </w:r>
      <w:r w:rsidRPr="005755BF">
        <w:rPr>
          <w:color w:val="auto"/>
        </w:rPr>
        <w:t>á</w:t>
      </w:r>
      <w:r w:rsidRPr="005755BF">
        <w:rPr>
          <w:color w:val="auto"/>
        </w:rPr>
        <w:t>ctica y recogeremos los frutos de estos tres añ</w:t>
      </w:r>
      <w:r w:rsidRPr="005755BF">
        <w:rPr>
          <w:color w:val="auto"/>
          <w:lang w:val="pt-PT"/>
        </w:rPr>
        <w:t>os anteriores. Ser</w:t>
      </w:r>
      <w:r w:rsidRPr="005755BF">
        <w:rPr>
          <w:color w:val="auto"/>
        </w:rPr>
        <w:t>í</w:t>
      </w:r>
      <w:r w:rsidRPr="005755BF">
        <w:rPr>
          <w:color w:val="auto"/>
        </w:rPr>
        <w:t>a interesante recoger documentos que nos permitan diagnosticar m</w:t>
      </w:r>
      <w:r w:rsidRPr="005755BF">
        <w:rPr>
          <w:color w:val="auto"/>
        </w:rPr>
        <w:t>á</w:t>
      </w:r>
      <w:r w:rsidRPr="005755BF">
        <w:rPr>
          <w:color w:val="auto"/>
        </w:rPr>
        <w:t>s eficazmente el punto en el que se e</w:t>
      </w:r>
      <w:r w:rsidRPr="005755BF">
        <w:rPr>
          <w:color w:val="auto"/>
        </w:rPr>
        <w:t>ncuentra nuestro alumnado y establecer una l</w:t>
      </w:r>
      <w:r w:rsidRPr="005755BF">
        <w:rPr>
          <w:color w:val="auto"/>
        </w:rPr>
        <w:t>í</w:t>
      </w:r>
      <w:r w:rsidRPr="005755BF">
        <w:rPr>
          <w:color w:val="auto"/>
        </w:rPr>
        <w:t>nea de actuación que ayude a los docentes a desarrollar todo el potencial ling</w:t>
      </w:r>
      <w:r w:rsidRPr="005755BF">
        <w:rPr>
          <w:color w:val="auto"/>
        </w:rPr>
        <w:t>üí</w:t>
      </w:r>
      <w:r w:rsidRPr="005755BF">
        <w:rPr>
          <w:color w:val="auto"/>
        </w:rPr>
        <w:t>stico de los mismos.</w:t>
      </w:r>
    </w:p>
    <w:p w:rsidR="00257CDB" w:rsidRPr="005755BF" w:rsidRDefault="00257CDB">
      <w:pPr>
        <w:pStyle w:val="Cuerpo"/>
        <w:jc w:val="both"/>
        <w:rPr>
          <w:color w:val="auto"/>
        </w:rPr>
      </w:pPr>
    </w:p>
    <w:p w:rsidR="00257CDB" w:rsidRPr="005755BF" w:rsidRDefault="00900B44">
      <w:pPr>
        <w:pStyle w:val="Cuerpo"/>
        <w:jc w:val="both"/>
        <w:rPr>
          <w:rStyle w:val="Ninguno"/>
          <w:b/>
          <w:bCs/>
          <w:color w:val="auto"/>
        </w:rPr>
      </w:pPr>
      <w:r w:rsidRPr="005755BF">
        <w:rPr>
          <w:rStyle w:val="Ninguno"/>
          <w:b/>
          <w:bCs/>
          <w:color w:val="auto"/>
        </w:rPr>
        <w:t>OBJETIVOS.-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>Evaluar las líneas de trabajo planificadas.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 xml:space="preserve"> Planificar situaciones comunicativas que favorezcan el deseo de comunicarse del alumnado sordo.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>Identificar actividades que favorezcan el desarrollo de habilidades cognitivas: la atención, la imitación, el seguimiento de instrucciones, la percepción, la m</w:t>
      </w:r>
      <w:r w:rsidRPr="005755BF">
        <w:rPr>
          <w:color w:val="auto"/>
        </w:rPr>
        <w:t>emoria, …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>Incorporar, dentro del marco curricular, actividades que incorporen el entrenamiento acústico intensivo y sistemático.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>Planificar la adquisición de un léxico funcional teniendo en cuenta la redundancia y la suplencia mental.</w:t>
      </w:r>
    </w:p>
    <w:p w:rsidR="00257CDB" w:rsidRPr="005755BF" w:rsidRDefault="00257CDB">
      <w:pPr>
        <w:pStyle w:val="Cuerpo"/>
        <w:jc w:val="both"/>
        <w:rPr>
          <w:color w:val="auto"/>
        </w:rPr>
      </w:pPr>
    </w:p>
    <w:p w:rsidR="00257CDB" w:rsidRPr="005755BF" w:rsidRDefault="00900B44">
      <w:pPr>
        <w:pStyle w:val="Cuerpo"/>
        <w:jc w:val="both"/>
        <w:rPr>
          <w:rStyle w:val="Ninguno"/>
          <w:b/>
          <w:bCs/>
          <w:color w:val="auto"/>
        </w:rPr>
      </w:pPr>
      <w:r w:rsidRPr="005755BF">
        <w:rPr>
          <w:rStyle w:val="Ninguno"/>
          <w:b/>
          <w:bCs/>
          <w:color w:val="auto"/>
        </w:rPr>
        <w:t>LINEAS DE TRABAJO.-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 xml:space="preserve"> La competencia en comunicación lingüística. Estrategias para abordar prácticas que favorezcan el desarrollo del lenguaje en el alumnado sordo. 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>Atención a la diversidad. Establecer las líneas básicas que fomentan el hecho comunicativo entre los alumnos so</w:t>
      </w:r>
      <w:r w:rsidRPr="005755BF">
        <w:rPr>
          <w:color w:val="auto"/>
        </w:rPr>
        <w:t>rdos y los alumnos oyentes.</w:t>
      </w:r>
    </w:p>
    <w:p w:rsidR="00257CDB" w:rsidRPr="005755BF" w:rsidRDefault="00257CDB">
      <w:pPr>
        <w:pStyle w:val="Prrafodelista"/>
        <w:ind w:left="0"/>
        <w:jc w:val="both"/>
        <w:rPr>
          <w:color w:val="auto"/>
        </w:rPr>
      </w:pPr>
    </w:p>
    <w:p w:rsidR="00257CDB" w:rsidRPr="005755BF" w:rsidRDefault="00900B44">
      <w:pPr>
        <w:pStyle w:val="Cuerpo"/>
        <w:jc w:val="both"/>
        <w:rPr>
          <w:rStyle w:val="Ninguno"/>
          <w:b/>
          <w:bCs/>
          <w:color w:val="auto"/>
        </w:rPr>
      </w:pPr>
      <w:r w:rsidRPr="005755BF">
        <w:rPr>
          <w:rStyle w:val="Ninguno"/>
          <w:b/>
          <w:bCs/>
          <w:color w:val="auto"/>
        </w:rPr>
        <w:t>CRONOGRAMA DE ACTIVIDADES Y TAREAS.-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1.-  La competencia en Comunicació</w:t>
      </w:r>
      <w:r w:rsidRPr="005755BF">
        <w:rPr>
          <w:color w:val="auto"/>
          <w:lang w:val="es-ES"/>
        </w:rPr>
        <w:t>n Ling</w:t>
      </w:r>
      <w:r w:rsidRPr="005755BF">
        <w:rPr>
          <w:color w:val="auto"/>
        </w:rPr>
        <w:t>üí</w:t>
      </w:r>
      <w:r w:rsidRPr="005755BF">
        <w:rPr>
          <w:color w:val="auto"/>
        </w:rPr>
        <w:t xml:space="preserve">stica. (CCL)en todas las </w:t>
      </w:r>
      <w:r w:rsidRPr="005755BF">
        <w:rPr>
          <w:color w:val="auto"/>
        </w:rPr>
        <w:t>á</w:t>
      </w:r>
      <w:r w:rsidRPr="005755BF">
        <w:rPr>
          <w:color w:val="auto"/>
          <w:lang w:val="pt-PT"/>
        </w:rPr>
        <w:t>reas. Estrategias para abordar pr</w:t>
      </w:r>
      <w:r w:rsidRPr="005755BF">
        <w:rPr>
          <w:color w:val="auto"/>
        </w:rPr>
        <w:t>á</w:t>
      </w:r>
      <w:r w:rsidRPr="005755BF">
        <w:rPr>
          <w:color w:val="auto"/>
        </w:rPr>
        <w:t>cticas y g</w:t>
      </w:r>
      <w:r w:rsidRPr="005755BF">
        <w:rPr>
          <w:color w:val="auto"/>
          <w:lang w:val="fr-FR"/>
        </w:rPr>
        <w:t>é</w:t>
      </w:r>
      <w:r w:rsidRPr="005755BF">
        <w:rPr>
          <w:color w:val="auto"/>
          <w:lang w:val="pt-PT"/>
        </w:rPr>
        <w:t>neros discursivos.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2.-  El enfoque metodoló</w:t>
      </w:r>
      <w:r w:rsidRPr="005755BF">
        <w:rPr>
          <w:color w:val="auto"/>
          <w:lang w:val="pt-PT"/>
        </w:rPr>
        <w:t>gico funcional-comunicativo.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  <w:lang w:val="pt-PT"/>
        </w:rPr>
        <w:lastRenderedPageBreak/>
        <w:t xml:space="preserve">3.-  </w:t>
      </w:r>
      <w:r w:rsidRPr="005755BF">
        <w:rPr>
          <w:color w:val="auto"/>
          <w:lang w:val="pt-PT"/>
        </w:rPr>
        <w:t>Estrategias para abordar pr</w:t>
      </w:r>
      <w:r w:rsidRPr="005755BF">
        <w:rPr>
          <w:color w:val="auto"/>
        </w:rPr>
        <w:t>á</w:t>
      </w:r>
      <w:r w:rsidRPr="005755BF">
        <w:rPr>
          <w:color w:val="auto"/>
        </w:rPr>
        <w:t>cticas y g</w:t>
      </w:r>
      <w:r w:rsidRPr="005755BF">
        <w:rPr>
          <w:color w:val="auto"/>
          <w:lang w:val="fr-FR"/>
        </w:rPr>
        <w:t>é</w:t>
      </w:r>
      <w:r w:rsidRPr="005755BF">
        <w:rPr>
          <w:color w:val="auto"/>
        </w:rPr>
        <w:t>neros discursivos adecuados a la etapa. (comprensió</w:t>
      </w:r>
      <w:r w:rsidRPr="005755BF">
        <w:rPr>
          <w:color w:val="auto"/>
        </w:rPr>
        <w:t>n-expresi</w:t>
      </w:r>
      <w:r w:rsidRPr="005755BF">
        <w:rPr>
          <w:color w:val="auto"/>
        </w:rPr>
        <w:t>ón oral y escrita, interacció</w:t>
      </w:r>
      <w:r w:rsidRPr="005755BF">
        <w:rPr>
          <w:color w:val="auto"/>
          <w:lang w:val="it-IT"/>
        </w:rPr>
        <w:t>n, tipolog</w:t>
      </w:r>
      <w:r w:rsidRPr="005755BF">
        <w:rPr>
          <w:color w:val="auto"/>
        </w:rPr>
        <w:t>í</w:t>
      </w:r>
      <w:r w:rsidRPr="005755BF">
        <w:rPr>
          <w:color w:val="auto"/>
          <w:lang w:val="pt-PT"/>
        </w:rPr>
        <w:t>a textual).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ab/>
        <w:t>-  Comprensi</w:t>
      </w:r>
      <w:r w:rsidRPr="005755BF">
        <w:rPr>
          <w:color w:val="auto"/>
        </w:rPr>
        <w:t>ó</w:t>
      </w:r>
      <w:r w:rsidRPr="005755BF">
        <w:rPr>
          <w:color w:val="auto"/>
          <w:lang w:val="fr-FR"/>
        </w:rPr>
        <w:t>n lectora.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ab/>
        <w:t>-  Expresi</w:t>
      </w:r>
      <w:r w:rsidRPr="005755BF">
        <w:rPr>
          <w:color w:val="auto"/>
        </w:rPr>
        <w:t>ó</w:t>
      </w:r>
      <w:r w:rsidRPr="005755BF">
        <w:rPr>
          <w:color w:val="auto"/>
        </w:rPr>
        <w:t>n Oral.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ab/>
        <w:t>-  Proceso lectores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ab/>
        <w:t>-  Procesos de escritura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ab/>
        <w:t>-  Tipologí</w:t>
      </w:r>
      <w:r w:rsidRPr="005755BF">
        <w:rPr>
          <w:color w:val="auto"/>
        </w:rPr>
        <w:t>a</w:t>
      </w:r>
      <w:r w:rsidRPr="005755BF">
        <w:rPr>
          <w:color w:val="auto"/>
        </w:rPr>
        <w:t>s textuales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ab/>
        <w:t>-  G</w:t>
      </w:r>
      <w:r w:rsidRPr="005755BF">
        <w:rPr>
          <w:color w:val="auto"/>
          <w:lang w:val="fr-FR"/>
        </w:rPr>
        <w:t>é</w:t>
      </w:r>
      <w:r w:rsidRPr="005755BF">
        <w:rPr>
          <w:color w:val="auto"/>
        </w:rPr>
        <w:t>neros literarios y no literarios.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 xml:space="preserve">4.-  Tratamiento de la lectura en todas las </w:t>
      </w:r>
      <w:r w:rsidRPr="005755BF">
        <w:rPr>
          <w:color w:val="auto"/>
        </w:rPr>
        <w:t>á</w:t>
      </w:r>
      <w:r w:rsidRPr="005755BF">
        <w:rPr>
          <w:color w:val="auto"/>
        </w:rPr>
        <w:t>reas y Biblioteca Escolar. Proyecto lector del centro.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5.-  Currí</w:t>
      </w:r>
      <w:r w:rsidRPr="005755BF">
        <w:rPr>
          <w:color w:val="auto"/>
        </w:rPr>
        <w:t>culum integrado de las lenguas (CIL). El biling</w:t>
      </w:r>
      <w:r w:rsidRPr="005755BF">
        <w:rPr>
          <w:color w:val="auto"/>
        </w:rPr>
        <w:t>ü</w:t>
      </w:r>
      <w:r w:rsidRPr="005755BF">
        <w:rPr>
          <w:color w:val="auto"/>
          <w:lang w:val="pt-PT"/>
        </w:rPr>
        <w:t>ismo: Lengua espa</w:t>
      </w:r>
      <w:r w:rsidRPr="005755BF">
        <w:rPr>
          <w:color w:val="auto"/>
        </w:rPr>
        <w:t>ñola/lengua de signos españ</w:t>
      </w:r>
      <w:r w:rsidRPr="005755BF">
        <w:rPr>
          <w:color w:val="auto"/>
          <w:lang w:val="it-IT"/>
        </w:rPr>
        <w:t>ol</w:t>
      </w:r>
      <w:r w:rsidRPr="005755BF">
        <w:rPr>
          <w:color w:val="auto"/>
          <w:lang w:val="it-IT"/>
        </w:rPr>
        <w:t>a.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6.-  CCL y metodolog</w:t>
      </w:r>
      <w:r w:rsidRPr="005755BF">
        <w:rPr>
          <w:color w:val="auto"/>
        </w:rPr>
        <w:t>ía ABP.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 xml:space="preserve">7.-  La atención a la diversidad: CCL y diversidad en todas las </w:t>
      </w:r>
      <w:r w:rsidRPr="005755BF">
        <w:rPr>
          <w:color w:val="auto"/>
        </w:rPr>
        <w:t>á</w:t>
      </w:r>
      <w:r w:rsidRPr="005755BF">
        <w:rPr>
          <w:color w:val="auto"/>
          <w:lang w:val="pt-PT"/>
        </w:rPr>
        <w:t>reas.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8.-  Las TIC al servicio de la mejora de la competencia en comunicació</w:t>
      </w:r>
      <w:r w:rsidRPr="005755BF">
        <w:rPr>
          <w:color w:val="auto"/>
          <w:lang w:val="it-IT"/>
        </w:rPr>
        <w:t>n ling</w:t>
      </w:r>
      <w:r w:rsidRPr="005755BF">
        <w:rPr>
          <w:color w:val="auto"/>
        </w:rPr>
        <w:t>üí</w:t>
      </w:r>
      <w:r w:rsidRPr="005755BF">
        <w:rPr>
          <w:color w:val="auto"/>
          <w:lang w:val="pt-PT"/>
        </w:rPr>
        <w:t>stica del alumnado.</w:t>
      </w:r>
    </w:p>
    <w:tbl>
      <w:tblPr>
        <w:tblStyle w:val="TableNormal"/>
        <w:tblW w:w="84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1"/>
        <w:gridCol w:w="3160"/>
        <w:gridCol w:w="1390"/>
        <w:gridCol w:w="2047"/>
      </w:tblGrid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4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jc w:val="center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La competencia lingüística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jc w:val="center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ACCIÓN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jc w:val="center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TAREAS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jc w:val="center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RESPONSABLES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jc w:val="center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TEMPORALIZACIÓN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Evaluación inicial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-Realización de pruebas iniciales que orienten al profesorado en la programación de clase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Claustro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Inicio del curso escolar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Planificar situaciones comunicativas que favorezcan el </w:t>
            </w:r>
            <w:r w:rsidRPr="005755BF">
              <w:rPr>
                <w:rStyle w:val="Ninguno"/>
                <w:color w:val="auto"/>
              </w:rPr>
              <w:lastRenderedPageBreak/>
              <w:t>deseo de comunicarse del alumnado sordo.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lastRenderedPageBreak/>
              <w:t>-Producir textos adecuados a distintas  situaciones comunicativas motivadores para el alumnado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Claustro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El curso escolar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-Realizar análisis previos orales o signados anteriores a la producción de textos: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-Análisis Asociativo de objetos: 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. asociaciones </w:t>
            </w:r>
            <w:r w:rsidRPr="005755BF">
              <w:rPr>
                <w:rStyle w:val="Ninguno"/>
                <w:color w:val="auto"/>
              </w:rPr>
              <w:t>temporales,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. asociaciones espaciales, . de origen y procedencia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. asociaciones causales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. asociaciones de utilidad y trabajo y sociales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. asociaciones morales, éticas y sociales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2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-Análisis asociativo de personas: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. espaciales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. temporales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. causales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. </w:t>
            </w:r>
            <w:r w:rsidRPr="005755BF">
              <w:rPr>
                <w:rStyle w:val="Ninguno"/>
                <w:color w:val="auto"/>
              </w:rPr>
              <w:t>de utilidad y trabajo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. de origen y procedencia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. éticas, morales y sociales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-Incorporación progresiva a las programaciones de aula.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257CDB">
            <w:pPr>
              <w:rPr>
                <w:lang w:val="es-ES"/>
              </w:rPr>
            </w:pP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257CDB">
            <w:pPr>
              <w:rPr>
                <w:lang w:val="es-ES"/>
              </w:rPr>
            </w:pP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-Atención a la diversidad en las actividades y tareas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-Incorporación de indicadores 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instrumentos de evaluació</w:t>
            </w:r>
            <w:r w:rsidRPr="005755BF">
              <w:rPr>
                <w:rStyle w:val="Ninguno"/>
                <w:color w:val="auto"/>
              </w:rPr>
              <w:t>n, determinando criterios de calificación del área o materia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Identificar actividades que favorezcan el desarrollo de habilidades cognitivas: la atención, la imitación, el seguimiento de instrucciones, la percepción, la memoria, …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Actividades para </w:t>
            </w:r>
            <w:r w:rsidRPr="005755BF">
              <w:rPr>
                <w:rStyle w:val="Ninguno"/>
                <w:color w:val="auto"/>
              </w:rPr>
              <w:t>trabajar las destrezas y habilidades comunicativas básicas:</w:t>
            </w:r>
          </w:p>
          <w:p w:rsidR="00257CDB" w:rsidRPr="005755BF" w:rsidRDefault="00257CDB">
            <w:pPr>
              <w:pStyle w:val="Cuerpo"/>
              <w:spacing w:after="0" w:line="240" w:lineRule="auto"/>
              <w:rPr>
                <w:rStyle w:val="Ninguno"/>
                <w:color w:val="auto"/>
              </w:rPr>
            </w:pP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-Atención 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-Imitación 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-Seguimiento de instrucciones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-Desarrollo de la percepción visual y auditiva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-Desarrollo de la memoria visual y auditiva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Claustro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El curso escolar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Incorporar, dentro del </w:t>
            </w:r>
            <w:r w:rsidRPr="005755BF">
              <w:rPr>
                <w:rStyle w:val="Ninguno"/>
                <w:color w:val="auto"/>
              </w:rPr>
              <w:t xml:space="preserve">marco curricular, actividades que incorporen el </w:t>
            </w:r>
            <w:r w:rsidRPr="005755BF">
              <w:rPr>
                <w:rStyle w:val="Ninguno"/>
                <w:color w:val="auto"/>
              </w:rPr>
              <w:lastRenderedPageBreak/>
              <w:t>entrenamiento acústico intensivo y sistemático.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lastRenderedPageBreak/>
              <w:t>Entrenamiento acústico sistemático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Claustro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El curso escolar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-Detección del sonido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-Discriminación de señales acústicas (cantidad, intensidad y timbre). </w:t>
            </w:r>
            <w:r w:rsidRPr="005755BF">
              <w:rPr>
                <w:rStyle w:val="Ninguno"/>
                <w:color w:val="auto"/>
              </w:rPr>
              <w:t>Sonidos vocálicos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-Identificación en contexto cerrado de estímulos auditivos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-Reconocimiento en contexto abierto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-Lenguaje oral desde la comprensión en contexto abierto.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Planificar la adquisición de un léxico funcional teniendo en cuenta la </w:t>
            </w:r>
            <w:r w:rsidRPr="005755BF">
              <w:rPr>
                <w:rStyle w:val="Ninguno"/>
                <w:color w:val="auto"/>
              </w:rPr>
              <w:t>redundancia y la suplencia mental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-Identificar el vocabulario básico que el alumnado debe de conocer en los distintos ciclos de la etapa escolar.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Claustro</w:t>
            </w:r>
          </w:p>
        </w:tc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El curso escolar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1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-Reconocer los distintos elementos de la estructura sintáctica identificando los </w:t>
            </w:r>
            <w:r w:rsidRPr="005755BF">
              <w:rPr>
                <w:rStyle w:val="Ninguno"/>
                <w:color w:val="auto"/>
              </w:rPr>
              <w:t>presentes y los ausentes en el mismo discurso comunicativo</w:t>
            </w: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  <w:tc>
          <w:tcPr>
            <w:tcW w:w="2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</w:tr>
    </w:tbl>
    <w:p w:rsidR="00257CDB" w:rsidRPr="005755BF" w:rsidRDefault="00257CDB">
      <w:pPr>
        <w:pStyle w:val="Cuerpo"/>
        <w:widowControl w:val="0"/>
        <w:spacing w:line="240" w:lineRule="auto"/>
        <w:jc w:val="both"/>
        <w:rPr>
          <w:color w:val="auto"/>
        </w:rPr>
      </w:pPr>
    </w:p>
    <w:p w:rsidR="00257CDB" w:rsidRPr="005755BF" w:rsidRDefault="00257CDB">
      <w:pPr>
        <w:pStyle w:val="Cuerpo"/>
        <w:jc w:val="both"/>
        <w:rPr>
          <w:color w:val="auto"/>
        </w:rPr>
      </w:pPr>
    </w:p>
    <w:p w:rsidR="00257CDB" w:rsidRPr="005755BF" w:rsidRDefault="00257CDB">
      <w:pPr>
        <w:pStyle w:val="Cuerpo"/>
        <w:jc w:val="both"/>
        <w:rPr>
          <w:color w:val="auto"/>
        </w:rPr>
      </w:pPr>
    </w:p>
    <w:tbl>
      <w:tblPr>
        <w:tblStyle w:val="TableNormal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951"/>
        <w:gridCol w:w="3260"/>
        <w:gridCol w:w="1434"/>
        <w:gridCol w:w="2110"/>
      </w:tblGrid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jc w:val="center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Las TICs para mejorar la comunicación lingüística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Utilizar las TICs como herramientas al servicio de la enseñanza – aprendizaje.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-Continuar con el Blog del centro.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Las profesoras de LSE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Todo</w:t>
            </w:r>
            <w:r w:rsidRPr="005755BF">
              <w:rPr>
                <w:rStyle w:val="Ninguno"/>
                <w:color w:val="auto"/>
              </w:rPr>
              <w:t xml:space="preserve"> el curso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-Creación de vídeos con canciones y textos en LSE.</w:t>
            </w: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-Producción de textos utilizando las TICs como medio de edición.</w:t>
            </w:r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</w:tr>
    </w:tbl>
    <w:p w:rsidR="00257CDB" w:rsidRPr="005755BF" w:rsidRDefault="00257CDB">
      <w:pPr>
        <w:pStyle w:val="Cuerpo"/>
        <w:widowControl w:val="0"/>
        <w:spacing w:line="240" w:lineRule="auto"/>
        <w:jc w:val="both"/>
        <w:rPr>
          <w:color w:val="auto"/>
        </w:rPr>
      </w:pPr>
    </w:p>
    <w:p w:rsidR="00257CDB" w:rsidRPr="005755BF" w:rsidRDefault="00257CDB">
      <w:pPr>
        <w:pStyle w:val="Cuerpo"/>
        <w:jc w:val="both"/>
        <w:rPr>
          <w:color w:val="auto"/>
        </w:rPr>
      </w:pPr>
    </w:p>
    <w:tbl>
      <w:tblPr>
        <w:tblStyle w:val="TableNormal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9"/>
        <w:gridCol w:w="2528"/>
        <w:gridCol w:w="1818"/>
        <w:gridCol w:w="2110"/>
      </w:tblGrid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8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jc w:val="center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lastRenderedPageBreak/>
              <w:t>La atención a la diversidad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jc w:val="center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ACCIÓN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jc w:val="center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TAREAS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jc w:val="center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RESPONSABLES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jc w:val="center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TEMPORALIZACIÓN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Establecer las líneas básicas que fomenten el </w:t>
            </w:r>
            <w:r w:rsidRPr="005755BF">
              <w:rPr>
                <w:rStyle w:val="Ninguno"/>
                <w:color w:val="auto"/>
              </w:rPr>
              <w:t>hecho comunicativo entre los alumnos sordos y los alumnos oyentes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-Planificación y organización de actividades con los profesores de los dos centros que fomenten conocimiento entre el alumnado sordo y oyentes 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Claustro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El curso escolar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-Mantener lí</w:t>
            </w:r>
            <w:r w:rsidRPr="005755BF">
              <w:rPr>
                <w:rStyle w:val="Ninguno"/>
                <w:color w:val="auto"/>
              </w:rPr>
              <w:t xml:space="preserve">neas de 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intervención conjunta ante las distintas situaciones que se puedan dar en los espacios comunes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-Iniciar el aprendizaje de la asignatura de Lengua de Signos Española en el CEIP Freinet con los alumnos oyentes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</w:tr>
    </w:tbl>
    <w:p w:rsidR="00257CDB" w:rsidRPr="005755BF" w:rsidRDefault="00257CDB">
      <w:pPr>
        <w:pStyle w:val="Cuerpo"/>
        <w:widowControl w:val="0"/>
        <w:spacing w:line="240" w:lineRule="auto"/>
        <w:jc w:val="both"/>
        <w:rPr>
          <w:color w:val="auto"/>
        </w:rPr>
      </w:pPr>
    </w:p>
    <w:p w:rsidR="00257CDB" w:rsidRPr="005755BF" w:rsidRDefault="00257CDB">
      <w:pPr>
        <w:pStyle w:val="Cuerpo"/>
        <w:jc w:val="both"/>
        <w:rPr>
          <w:color w:val="auto"/>
        </w:rPr>
      </w:pPr>
    </w:p>
    <w:tbl>
      <w:tblPr>
        <w:tblStyle w:val="TableNormal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99"/>
        <w:gridCol w:w="2528"/>
        <w:gridCol w:w="1818"/>
        <w:gridCol w:w="2110"/>
      </w:tblGrid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Evaluación de los procesos y </w:t>
            </w:r>
            <w:r w:rsidRPr="005755BF">
              <w:rPr>
                <w:rStyle w:val="Ninguno"/>
                <w:color w:val="auto"/>
              </w:rPr>
              <w:t>resultados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-Establecimiento de instrumentos de evaluación vinculados con la puesta en marcha del PLC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Claustro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Todo el curso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-Revisión de los acuerdos alcanzados y viabilidad de los mismos. Propuestas de mejora.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-Análisis de la repercusión en los </w:t>
            </w:r>
            <w:r w:rsidRPr="005755BF">
              <w:rPr>
                <w:rStyle w:val="Ninguno"/>
                <w:color w:val="auto"/>
              </w:rPr>
              <w:t>rendimientos del alumnado. Propuestas de mejora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-Análisis DAFO (Dificultades, amenazas, fortalezas y </w:t>
            </w:r>
            <w:r w:rsidRPr="005755BF">
              <w:rPr>
                <w:rStyle w:val="Ninguno"/>
                <w:color w:val="auto"/>
              </w:rPr>
              <w:lastRenderedPageBreak/>
              <w:t>oportunidades)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</w:tr>
    </w:tbl>
    <w:p w:rsidR="00257CDB" w:rsidRPr="005755BF" w:rsidRDefault="00257CDB">
      <w:pPr>
        <w:pStyle w:val="Cuerpo"/>
        <w:widowControl w:val="0"/>
        <w:spacing w:line="240" w:lineRule="auto"/>
        <w:jc w:val="both"/>
        <w:rPr>
          <w:color w:val="auto"/>
        </w:rPr>
      </w:pPr>
    </w:p>
    <w:p w:rsidR="00257CDB" w:rsidRPr="005755BF" w:rsidRDefault="00257CDB">
      <w:pPr>
        <w:pStyle w:val="Cuerpo"/>
        <w:jc w:val="both"/>
        <w:rPr>
          <w:color w:val="auto"/>
        </w:rPr>
      </w:pPr>
    </w:p>
    <w:tbl>
      <w:tblPr>
        <w:tblStyle w:val="TableNormal"/>
        <w:tblW w:w="875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827"/>
        <w:gridCol w:w="1818"/>
        <w:gridCol w:w="2110"/>
      </w:tblGrid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Revisión final del Proyecto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Claustro</w:t>
            </w:r>
          </w:p>
        </w:tc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Final de curso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Presentación del PLC en Claustro y Consejo Escolar.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Aprobación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Incorporación </w:t>
            </w:r>
            <w:r w:rsidRPr="005755BF">
              <w:rPr>
                <w:rStyle w:val="Ninguno"/>
                <w:color w:val="auto"/>
              </w:rPr>
              <w:t>al Proyecto Educativo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>
            <w:pPr>
              <w:rPr>
                <w:lang w:val="es-ES"/>
              </w:rPr>
            </w:pP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</w:trPr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Seguimiento y Evaluación posterior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  <w:tc>
          <w:tcPr>
            <w:tcW w:w="2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CDB" w:rsidRPr="005755BF" w:rsidRDefault="00257CDB"/>
        </w:tc>
      </w:tr>
    </w:tbl>
    <w:p w:rsidR="00257CDB" w:rsidRPr="005755BF" w:rsidRDefault="00257CDB">
      <w:pPr>
        <w:pStyle w:val="Cuerpo"/>
        <w:widowControl w:val="0"/>
        <w:spacing w:line="240" w:lineRule="auto"/>
        <w:jc w:val="both"/>
        <w:rPr>
          <w:color w:val="auto"/>
        </w:rPr>
      </w:pPr>
    </w:p>
    <w:p w:rsidR="00257CDB" w:rsidRPr="005755BF" w:rsidRDefault="00257CDB">
      <w:pPr>
        <w:pStyle w:val="Cuerpo"/>
        <w:jc w:val="both"/>
        <w:rPr>
          <w:color w:val="auto"/>
        </w:rPr>
      </w:pP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ESTRATEGIAS Y METODOLOG</w:t>
      </w:r>
      <w:r w:rsidRPr="005755BF">
        <w:rPr>
          <w:color w:val="auto"/>
        </w:rPr>
        <w:t>Í</w:t>
      </w:r>
      <w:r w:rsidRPr="005755BF">
        <w:rPr>
          <w:color w:val="auto"/>
        </w:rPr>
        <w:t>A DE TRABAJO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  <w:lang w:val="it-IT"/>
        </w:rPr>
        <w:t>Previsi</w:t>
      </w:r>
      <w:r w:rsidRPr="005755BF">
        <w:rPr>
          <w:color w:val="auto"/>
        </w:rPr>
        <w:t>ón del calendario de reuniones</w:t>
      </w:r>
    </w:p>
    <w:tbl>
      <w:tblPr>
        <w:tblStyle w:val="TableNormal"/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68"/>
        <w:gridCol w:w="6976"/>
      </w:tblGrid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Septiembre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Evaluación inicial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Octubre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Reunión de la comisión del PLC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Información y actualización de datos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Noviembre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Asistencia a jornada formativa inicial del programa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De noviembre a mayo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Elaboración de documentos y propuestas didácticas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Presentación en COLABORA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Febrero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Cumplimentación del Formulario de seguimiento del Programa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Mayo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 xml:space="preserve">Asistencia a Jornada </w:t>
            </w:r>
            <w:r w:rsidRPr="005755BF">
              <w:rPr>
                <w:rStyle w:val="Ninguno"/>
                <w:color w:val="auto"/>
              </w:rPr>
              <w:t>formativa final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Junio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Presentación del Proyecto Mínimo Viable revisado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Cumplimentación del cuestionario final de evaluación en Colabora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Cumplimentación del Formulario de seguimiento del profesorado</w:t>
            </w:r>
          </w:p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Realización de las Propuestas de Mejora</w:t>
            </w:r>
          </w:p>
        </w:tc>
      </w:tr>
      <w:tr w:rsidR="00257CDB" w:rsidRPr="005755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Junio-Agosto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57CDB" w:rsidRPr="005755BF" w:rsidRDefault="00900B44">
            <w:pPr>
              <w:pStyle w:val="Cuerpo"/>
              <w:spacing w:after="0" w:line="240" w:lineRule="auto"/>
              <w:rPr>
                <w:color w:val="auto"/>
              </w:rPr>
            </w:pPr>
            <w:r w:rsidRPr="005755BF">
              <w:rPr>
                <w:rStyle w:val="Ninguno"/>
                <w:color w:val="auto"/>
              </w:rPr>
              <w:t>Certificación de la participación</w:t>
            </w:r>
          </w:p>
        </w:tc>
      </w:tr>
    </w:tbl>
    <w:p w:rsidR="00257CDB" w:rsidRPr="005755BF" w:rsidRDefault="00257CDB">
      <w:pPr>
        <w:pStyle w:val="Cuerpo"/>
        <w:widowControl w:val="0"/>
        <w:spacing w:line="240" w:lineRule="auto"/>
        <w:jc w:val="both"/>
        <w:rPr>
          <w:color w:val="auto"/>
        </w:rPr>
      </w:pPr>
    </w:p>
    <w:p w:rsidR="00257CDB" w:rsidRPr="005755BF" w:rsidRDefault="00257CDB">
      <w:pPr>
        <w:pStyle w:val="Cuerpo"/>
        <w:jc w:val="both"/>
        <w:rPr>
          <w:color w:val="auto"/>
        </w:rPr>
      </w:pP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lastRenderedPageBreak/>
        <w:t>Grado de integración curricular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Tenemos como un objetivo principal integrar la lengua castellana y la lengua de signos españolas para vehicular a trav</w:t>
      </w:r>
      <w:r w:rsidRPr="005755BF">
        <w:rPr>
          <w:color w:val="auto"/>
          <w:lang w:val="fr-FR"/>
        </w:rPr>
        <w:t>é</w:t>
      </w:r>
      <w:r w:rsidRPr="005755BF">
        <w:rPr>
          <w:color w:val="auto"/>
        </w:rPr>
        <w:t xml:space="preserve">s de ellas las otras </w:t>
      </w:r>
      <w:r w:rsidRPr="005755BF">
        <w:rPr>
          <w:color w:val="auto"/>
        </w:rPr>
        <w:t>á</w:t>
      </w:r>
      <w:r w:rsidRPr="005755BF">
        <w:rPr>
          <w:color w:val="auto"/>
        </w:rPr>
        <w:t>reas y materias.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Los ciclo est</w:t>
      </w:r>
      <w:r w:rsidRPr="005755BF">
        <w:rPr>
          <w:color w:val="auto"/>
        </w:rPr>
        <w:t>á</w:t>
      </w:r>
      <w:r w:rsidRPr="005755BF">
        <w:rPr>
          <w:color w:val="auto"/>
        </w:rPr>
        <w:t>n implicados en</w:t>
      </w:r>
      <w:r w:rsidRPr="005755BF">
        <w:rPr>
          <w:color w:val="auto"/>
        </w:rPr>
        <w:t xml:space="preserve"> la programació</w:t>
      </w:r>
      <w:r w:rsidRPr="005755BF">
        <w:rPr>
          <w:color w:val="auto"/>
          <w:lang w:val="fr-FR"/>
        </w:rPr>
        <w:t>n dise</w:t>
      </w:r>
      <w:r w:rsidRPr="005755BF">
        <w:rPr>
          <w:color w:val="auto"/>
        </w:rPr>
        <w:t>ño y realización de las tareas y en la evaluación de las mismas.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Todos los planes y proyectos del centro se integran en el Proyecto Ling</w:t>
      </w:r>
      <w:r w:rsidRPr="005755BF">
        <w:rPr>
          <w:color w:val="auto"/>
        </w:rPr>
        <w:t>üí</w:t>
      </w:r>
      <w:r w:rsidRPr="005755BF">
        <w:rPr>
          <w:color w:val="auto"/>
          <w:lang w:val="pt-PT"/>
        </w:rPr>
        <w:t>stico de Centro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T</w:t>
      </w:r>
      <w:r w:rsidRPr="005755BF">
        <w:rPr>
          <w:color w:val="auto"/>
          <w:lang w:val="fr-FR"/>
        </w:rPr>
        <w:t>é</w:t>
      </w:r>
      <w:r w:rsidRPr="005755BF">
        <w:rPr>
          <w:color w:val="auto"/>
          <w:lang w:val="pt-PT"/>
        </w:rPr>
        <w:t>cnicas e instrumentos de difusi</w:t>
      </w:r>
      <w:r w:rsidRPr="005755BF">
        <w:rPr>
          <w:color w:val="auto"/>
        </w:rPr>
        <w:t>ó</w:t>
      </w:r>
      <w:r w:rsidRPr="005755BF">
        <w:rPr>
          <w:color w:val="auto"/>
        </w:rPr>
        <w:t>n.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Participación como ponentes y/o asistentes a</w:t>
      </w:r>
      <w:r w:rsidRPr="005755BF">
        <w:rPr>
          <w:color w:val="auto"/>
        </w:rPr>
        <w:t xml:space="preserve"> cursos y jornadas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Mantenimiento de los blogs del centro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Reuniones de trabajo e información a la comunidad educativa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  <w:lang w:val="pt-PT"/>
        </w:rPr>
        <w:t>Distribuci</w:t>
      </w:r>
      <w:r w:rsidRPr="005755BF">
        <w:rPr>
          <w:color w:val="auto"/>
        </w:rPr>
        <w:t>ón de los productos elaborados con otros centros educativos, centro del profesorado, asociaciones y otros organismos.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  <w:lang w:val="de-DE"/>
        </w:rPr>
        <w:t>FORMACI</w:t>
      </w:r>
      <w:r w:rsidRPr="005755BF">
        <w:rPr>
          <w:color w:val="auto"/>
        </w:rPr>
        <w:t>Ó</w:t>
      </w:r>
      <w:r w:rsidRPr="005755BF">
        <w:rPr>
          <w:color w:val="auto"/>
          <w:lang w:val="es-ES"/>
        </w:rPr>
        <w:t>N E</w:t>
      </w:r>
      <w:r w:rsidRPr="005755BF">
        <w:rPr>
          <w:color w:val="auto"/>
          <w:lang w:val="es-ES"/>
        </w:rPr>
        <w:t>SPEC</w:t>
      </w:r>
      <w:r w:rsidRPr="005755BF">
        <w:rPr>
          <w:color w:val="auto"/>
        </w:rPr>
        <w:t>ÍFICA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Durante los cursos anteriores nuestras necesidades formativas se han centrado en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>Competencias Clave.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>La Mejora de los procesos de alfabetización del alumnado sordo, Formación constante relacionada con la comprensión y expresión escrita en los asp</w:t>
      </w:r>
      <w:r w:rsidRPr="005755BF">
        <w:rPr>
          <w:color w:val="auto"/>
        </w:rPr>
        <w:t>ectos morfosintácticos de la LSE, en la transferencia de conocimiento entre las dos lenguas utilizadas en el centro: la lengua de signos española y la lengua castellana.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>En metodología verbotonal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Durante este curso la formación se centrará  en la consolida</w:t>
      </w:r>
      <w:r w:rsidRPr="005755BF">
        <w:rPr>
          <w:color w:val="auto"/>
        </w:rPr>
        <w:t>ción, implementación de todo lo trabajado durante los tres últimos cursos y en incorporar instrumentos de evaluación de nuestros prácticas y del PLC para su incorporación al proyecto educativo</w:t>
      </w:r>
      <w:r w:rsidRPr="005755BF">
        <w:rPr>
          <w:rStyle w:val="Ninguno"/>
          <w:color w:val="auto"/>
        </w:rPr>
        <w:t>.</w:t>
      </w:r>
    </w:p>
    <w:p w:rsidR="00257CDB" w:rsidRPr="005755BF" w:rsidRDefault="00257CDB">
      <w:pPr>
        <w:pStyle w:val="Cuerpo"/>
        <w:jc w:val="both"/>
        <w:rPr>
          <w:color w:val="auto"/>
        </w:rPr>
      </w:pPr>
    </w:p>
    <w:p w:rsidR="00257CDB" w:rsidRPr="005755BF" w:rsidRDefault="00257CDB">
      <w:pPr>
        <w:pStyle w:val="Cuerpo"/>
        <w:jc w:val="both"/>
        <w:rPr>
          <w:color w:val="auto"/>
        </w:rPr>
      </w:pP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SEGUIMIENTO Y EVALUACI</w:t>
      </w:r>
      <w:r w:rsidRPr="005755BF">
        <w:rPr>
          <w:color w:val="auto"/>
        </w:rPr>
        <w:t>ÓN</w:t>
      </w:r>
    </w:p>
    <w:p w:rsidR="00257CDB" w:rsidRPr="005755BF" w:rsidRDefault="00900B44">
      <w:pPr>
        <w:pStyle w:val="Cuerpo"/>
        <w:jc w:val="both"/>
        <w:rPr>
          <w:rStyle w:val="Ninguno"/>
          <w:color w:val="auto"/>
        </w:rPr>
      </w:pPr>
      <w:r w:rsidRPr="005755BF">
        <w:rPr>
          <w:color w:val="auto"/>
        </w:rPr>
        <w:t xml:space="preserve">Los Procedimientos para el </w:t>
      </w:r>
      <w:r w:rsidRPr="005755BF">
        <w:rPr>
          <w:color w:val="auto"/>
        </w:rPr>
        <w:t>seguimiento y evaluació</w:t>
      </w:r>
      <w:r w:rsidRPr="005755BF">
        <w:rPr>
          <w:color w:val="auto"/>
          <w:lang w:val="pt-PT"/>
        </w:rPr>
        <w:t>n permitir</w:t>
      </w:r>
      <w:r w:rsidRPr="005755BF">
        <w:rPr>
          <w:color w:val="auto"/>
        </w:rPr>
        <w:t>á</w:t>
      </w:r>
      <w:r w:rsidRPr="005755BF">
        <w:rPr>
          <w:color w:val="auto"/>
        </w:rPr>
        <w:t xml:space="preserve">n partir de un </w:t>
      </w:r>
      <w:r w:rsidRPr="005755BF">
        <w:rPr>
          <w:rStyle w:val="Ninguno"/>
          <w:color w:val="auto"/>
        </w:rPr>
        <w:t xml:space="preserve">conocimiento inicial, hacer una valoración del proceso y por </w:t>
      </w:r>
      <w:r w:rsidRPr="005755BF">
        <w:rPr>
          <w:rStyle w:val="Ninguno"/>
          <w:color w:val="auto"/>
        </w:rPr>
        <w:t>ú</w:t>
      </w:r>
      <w:r w:rsidRPr="005755BF">
        <w:rPr>
          <w:rStyle w:val="Ninguno"/>
          <w:color w:val="auto"/>
        </w:rPr>
        <w:t>ltimo realizar una evaluación final en la que se reflejen: los avances conseguidos, acuerdos alcanzados, los documentos o recursos elaborados, di</w:t>
      </w:r>
      <w:r w:rsidRPr="005755BF">
        <w:rPr>
          <w:rStyle w:val="Ninguno"/>
          <w:color w:val="auto"/>
        </w:rPr>
        <w:t>ficultades, oportunidades, fortalezas y debilidades, y la repercusión en los rendimientos del alumnado.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  <w:lang w:val="pt-PT"/>
        </w:rPr>
        <w:t>Los instrumentos que utilizaremos ser</w:t>
      </w:r>
      <w:r w:rsidRPr="005755BF">
        <w:rPr>
          <w:color w:val="auto"/>
        </w:rPr>
        <w:t>á</w:t>
      </w:r>
      <w:r w:rsidRPr="005755BF">
        <w:rPr>
          <w:color w:val="auto"/>
          <w:lang w:val="de-DE"/>
        </w:rPr>
        <w:t>n: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lastRenderedPageBreak/>
        <w:t xml:space="preserve"> Las actas de las reuniones de trabajo.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>Los documentos elaborados.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>Los formularios de seguimiento y el cuestion</w:t>
      </w:r>
      <w:r w:rsidRPr="005755BF">
        <w:rPr>
          <w:color w:val="auto"/>
        </w:rPr>
        <w:t>ario final.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>La participación en los debates y sesiones de trabajo.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Indicadores de evaluació</w:t>
      </w:r>
      <w:r w:rsidRPr="005755BF">
        <w:rPr>
          <w:color w:val="auto"/>
          <w:lang w:val="de-DE"/>
        </w:rPr>
        <w:t>n: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 xml:space="preserve"> El tanto por ciento de participación del profesorado del centro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>El tanto por ciento de las evaluaciones posibles realizadas en el centro.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>Grado de consenso en la</w:t>
      </w:r>
      <w:r w:rsidRPr="005755BF">
        <w:rPr>
          <w:color w:val="auto"/>
        </w:rPr>
        <w:t xml:space="preserve"> realización de los criterios de evaluación de los textos producidos por el alumnado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>Se ha llevado a cabo la lectura y reflexión de textos de la bibliografía propuesta.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>En las programaciones de aula se recoge la planificación de los aspectos morfosintáctic</w:t>
      </w:r>
      <w:r w:rsidRPr="005755BF">
        <w:rPr>
          <w:color w:val="auto"/>
        </w:rPr>
        <w:t>os trabajados y propuestos.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>En las programaciones de aula se recogen las estrategias metodológicas que se irán trabajando y consensuando en el desarrollo del PLC. Se valorará su funcionalidad en el aula en las sesiones de trabajo propuestas en el proyecto.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>Se han cumplimentado los formularios de seguimiento en tiempo y forma</w:t>
      </w:r>
    </w:p>
    <w:p w:rsidR="00257CDB" w:rsidRPr="005755BF" w:rsidRDefault="00900B44">
      <w:pPr>
        <w:pStyle w:val="Prrafodelista"/>
        <w:numPr>
          <w:ilvl w:val="0"/>
          <w:numId w:val="2"/>
        </w:numPr>
        <w:jc w:val="both"/>
        <w:rPr>
          <w:color w:val="auto"/>
        </w:rPr>
      </w:pPr>
      <w:r w:rsidRPr="005755BF">
        <w:rPr>
          <w:color w:val="auto"/>
        </w:rPr>
        <w:t>Se han cumplimentado los documentos finales del Proyecto.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>En Almerí</w:t>
      </w:r>
      <w:r w:rsidRPr="005755BF">
        <w:rPr>
          <w:color w:val="auto"/>
        </w:rPr>
        <w:t>a noviembre de 2016</w:t>
      </w: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</w:rPr>
        <w:tab/>
      </w:r>
      <w:r w:rsidRPr="005755BF">
        <w:rPr>
          <w:color w:val="auto"/>
        </w:rPr>
        <w:tab/>
      </w:r>
      <w:r w:rsidRPr="005755BF">
        <w:rPr>
          <w:color w:val="auto"/>
        </w:rPr>
        <w:tab/>
      </w:r>
      <w:r w:rsidRPr="005755BF">
        <w:rPr>
          <w:color w:val="auto"/>
        </w:rPr>
        <w:tab/>
      </w:r>
      <w:r w:rsidRPr="005755BF">
        <w:rPr>
          <w:color w:val="auto"/>
        </w:rPr>
        <w:tab/>
      </w:r>
      <w:r w:rsidRPr="005755BF">
        <w:rPr>
          <w:color w:val="auto"/>
        </w:rPr>
        <w:tab/>
      </w:r>
      <w:r w:rsidRPr="005755BF">
        <w:rPr>
          <w:color w:val="auto"/>
        </w:rPr>
        <w:tab/>
        <w:t>EL COORDINADOR</w:t>
      </w:r>
    </w:p>
    <w:p w:rsidR="00257CDB" w:rsidRPr="005755BF" w:rsidRDefault="00257CDB">
      <w:pPr>
        <w:pStyle w:val="Cuerpo"/>
        <w:jc w:val="both"/>
        <w:rPr>
          <w:color w:val="auto"/>
        </w:rPr>
      </w:pPr>
    </w:p>
    <w:p w:rsidR="00257CDB" w:rsidRPr="005755BF" w:rsidRDefault="00257CDB">
      <w:pPr>
        <w:pStyle w:val="Cuerpo"/>
        <w:jc w:val="both"/>
        <w:rPr>
          <w:color w:val="auto"/>
        </w:rPr>
      </w:pPr>
    </w:p>
    <w:p w:rsidR="00257CDB" w:rsidRPr="005755BF" w:rsidRDefault="00257CDB">
      <w:pPr>
        <w:pStyle w:val="Cuerpo"/>
        <w:jc w:val="both"/>
        <w:rPr>
          <w:color w:val="auto"/>
        </w:rPr>
      </w:pPr>
    </w:p>
    <w:p w:rsidR="00257CDB" w:rsidRPr="005755BF" w:rsidRDefault="00900B44">
      <w:pPr>
        <w:pStyle w:val="Cuerpo"/>
        <w:jc w:val="both"/>
        <w:rPr>
          <w:color w:val="auto"/>
        </w:rPr>
      </w:pPr>
      <w:r w:rsidRPr="005755BF">
        <w:rPr>
          <w:color w:val="auto"/>
          <w:lang w:val="pt-PT"/>
        </w:rPr>
        <w:tab/>
      </w:r>
      <w:r w:rsidRPr="005755BF">
        <w:rPr>
          <w:color w:val="auto"/>
          <w:lang w:val="pt-PT"/>
        </w:rPr>
        <w:tab/>
      </w:r>
      <w:r w:rsidRPr="005755BF">
        <w:rPr>
          <w:color w:val="auto"/>
          <w:lang w:val="pt-PT"/>
        </w:rPr>
        <w:tab/>
      </w:r>
      <w:r w:rsidRPr="005755BF">
        <w:rPr>
          <w:color w:val="auto"/>
          <w:lang w:val="pt-PT"/>
        </w:rPr>
        <w:tab/>
      </w:r>
      <w:r w:rsidRPr="005755BF">
        <w:rPr>
          <w:color w:val="auto"/>
          <w:lang w:val="pt-PT"/>
        </w:rPr>
        <w:tab/>
      </w:r>
      <w:r w:rsidRPr="005755BF">
        <w:rPr>
          <w:color w:val="auto"/>
          <w:lang w:val="pt-PT"/>
        </w:rPr>
        <w:tab/>
      </w:r>
      <w:r w:rsidRPr="005755BF">
        <w:rPr>
          <w:color w:val="auto"/>
          <w:lang w:val="pt-PT"/>
        </w:rPr>
        <w:tab/>
        <w:t>Fdo.: Francisco Amat Figueroa</w:t>
      </w:r>
    </w:p>
    <w:p w:rsidR="00257CDB" w:rsidRPr="005755BF" w:rsidRDefault="00257CDB">
      <w:pPr>
        <w:pStyle w:val="Prrafodelista"/>
        <w:jc w:val="both"/>
        <w:rPr>
          <w:color w:val="auto"/>
        </w:rPr>
      </w:pPr>
    </w:p>
    <w:p w:rsidR="00257CDB" w:rsidRPr="005755BF" w:rsidRDefault="00257CDB">
      <w:pPr>
        <w:pStyle w:val="Prrafodelista"/>
        <w:jc w:val="both"/>
        <w:rPr>
          <w:color w:val="auto"/>
        </w:rPr>
      </w:pPr>
    </w:p>
    <w:p w:rsidR="00257CDB" w:rsidRPr="005755BF" w:rsidRDefault="00257CDB">
      <w:pPr>
        <w:pStyle w:val="Cuerpo"/>
        <w:jc w:val="both"/>
        <w:rPr>
          <w:color w:val="auto"/>
        </w:rPr>
      </w:pPr>
    </w:p>
    <w:p w:rsidR="00257CDB" w:rsidRPr="005755BF" w:rsidRDefault="00257CDB">
      <w:pPr>
        <w:pStyle w:val="Cuerpo"/>
        <w:jc w:val="both"/>
        <w:rPr>
          <w:color w:val="auto"/>
        </w:rPr>
      </w:pPr>
    </w:p>
    <w:p w:rsidR="00257CDB" w:rsidRPr="005755BF" w:rsidRDefault="00257CDB">
      <w:pPr>
        <w:pStyle w:val="Cuerpo"/>
        <w:jc w:val="both"/>
        <w:rPr>
          <w:color w:val="auto"/>
        </w:rPr>
      </w:pPr>
    </w:p>
    <w:p w:rsidR="00257CDB" w:rsidRPr="005755BF" w:rsidRDefault="00257CDB">
      <w:pPr>
        <w:pStyle w:val="Cuerpo"/>
        <w:jc w:val="both"/>
        <w:rPr>
          <w:color w:val="auto"/>
        </w:rPr>
      </w:pPr>
    </w:p>
    <w:sectPr w:rsidR="00257CDB" w:rsidRPr="005755BF" w:rsidSect="00257CDB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B44" w:rsidRDefault="00900B44" w:rsidP="00257CDB">
      <w:r>
        <w:separator/>
      </w:r>
    </w:p>
  </w:endnote>
  <w:endnote w:type="continuationSeparator" w:id="1">
    <w:p w:rsidR="00900B44" w:rsidRDefault="00900B44" w:rsidP="00257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DB" w:rsidRDefault="00257CDB">
    <w:pPr>
      <w:pStyle w:val="Cabeceraypi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B44" w:rsidRDefault="00900B44" w:rsidP="00257CDB">
      <w:r>
        <w:separator/>
      </w:r>
    </w:p>
  </w:footnote>
  <w:footnote w:type="continuationSeparator" w:id="1">
    <w:p w:rsidR="00900B44" w:rsidRDefault="00900B44" w:rsidP="00257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CDB" w:rsidRDefault="00257CDB">
    <w:pPr>
      <w:pStyle w:val="Cabeceraypi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F82"/>
    <w:multiLevelType w:val="hybridMultilevel"/>
    <w:tmpl w:val="C616B722"/>
    <w:styleLink w:val="Estiloimportado1"/>
    <w:lvl w:ilvl="0" w:tplc="2E4C759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E204B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D2802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586AE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C636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3EF6A6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968588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AAB1C4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C653C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0452C5C"/>
    <w:multiLevelType w:val="hybridMultilevel"/>
    <w:tmpl w:val="C616B722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CDB"/>
    <w:rsid w:val="00257CDB"/>
    <w:rsid w:val="005755BF"/>
    <w:rsid w:val="0090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7CDB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57CDB"/>
    <w:rPr>
      <w:u w:val="single"/>
    </w:rPr>
  </w:style>
  <w:style w:type="table" w:customStyle="1" w:styleId="TableNormal">
    <w:name w:val="Table Normal"/>
    <w:rsid w:val="00257C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257CD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uerpo">
    <w:name w:val="Cuerpo"/>
    <w:rsid w:val="00257CDB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sid w:val="00257CDB"/>
    <w:rPr>
      <w:lang w:val="es-ES_tradnl"/>
    </w:rPr>
  </w:style>
  <w:style w:type="paragraph" w:styleId="Prrafodelista">
    <w:name w:val="List Paragraph"/>
    <w:rsid w:val="00257CDB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rsid w:val="00257CDB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2024</Words>
  <Characters>11135</Characters>
  <Application>Microsoft Office Word</Application>
  <DocSecurity>0</DocSecurity>
  <Lines>92</Lines>
  <Paragraphs>26</Paragraphs>
  <ScaleCrop>false</ScaleCrop>
  <Company/>
  <LinksUpToDate>false</LinksUpToDate>
  <CharactersWithSpaces>13133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Paco</cp:lastModifiedBy>
  <cp:revision>2</cp:revision>
  <dcterms:created xsi:type="dcterms:W3CDTF">2016-12-14T11:39:00Z</dcterms:created>
  <dcterms:modified xsi:type="dcterms:W3CDTF">2016-12-14T11:39:00Z</dcterms:modified>
</cp:coreProperties>
</file>