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>MEMORIA FINAL PLC LOPE DE VEGA 2016/2017</w:t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  <w:bCs/>
        </w:rPr>
        <w:t xml:space="preserve">Apellidos: </w:t>
        <w:tab/>
        <w:tab/>
        <w:tab/>
        <w:t xml:space="preserve">                               Nombre: </w:t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  <w:bCs/>
        </w:rPr>
        <w:tab/>
        <w:tab/>
      </w:r>
    </w:p>
    <w:tbl>
      <w:tblPr>
        <w:tblStyle w:val="Tablaconcuadrcula"/>
        <w:tblW w:w="864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rebuchet MS" w:ascii="Trebuchet MS" w:hAnsi="Trebuchet MS"/>
                <w:b/>
                <w:bCs/>
              </w:rPr>
              <w:t xml:space="preserve">1. Grado de cumplimiento de los compromisos individuales: Tareas </w:t>
              <w:tab/>
              <w:t>realizadas, materiales elaborados (en su caso)  y aplicación en el aula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Las </w:t>
            </w:r>
            <w:r>
              <w:rPr/>
              <w:t xml:space="preserve">actividades propuestas han estado </w:t>
            </w:r>
            <w:r>
              <w:rPr/>
              <w:t xml:space="preserve">relacionadas, </w:t>
            </w:r>
            <w:r>
              <w:rPr/>
              <w:t xml:space="preserve">sobre todo, con </w:t>
            </w:r>
            <w:r>
              <w:rPr/>
              <w:t>la escucha activa, las palabras mágicas, simulaciones y la cortesía no verbal.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Se han </w:t>
            </w:r>
            <w:r>
              <w:rPr/>
              <w:t>utilizado</w:t>
            </w:r>
            <w:r>
              <w:rPr/>
              <w:t xml:space="preserve"> de forma cotidiana en diferentes momentos, siempre programados.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En cuanto a la escucha activa, se ha aplicado todos los días en distintos momentos al explicar ( en </w:t>
            </w:r>
            <w:r>
              <w:rPr/>
              <w:t xml:space="preserve">las </w:t>
            </w:r>
            <w:r>
              <w:rPr/>
              <w:t>entradas y salidas al patio, dinámicas de trabajo, explicaciones expuestas por la maestra…).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Con respecto a las palabras mágicas </w:t>
            </w:r>
            <w:r>
              <w:rPr/>
              <w:t xml:space="preserve">decir que </w:t>
            </w:r>
            <w:r>
              <w:rPr/>
              <w:t xml:space="preserve">se llevan a cabo en todo momento, sobre todo, al principio de cada clase, se aplican en distintos momentos del día, a la entrada, a la salida… a través de carteles, de vídeo y simulaciones. Los recurso utilizados son la pizarra </w:t>
            </w:r>
            <w:r>
              <w:rPr/>
              <w:t>y</w:t>
            </w:r>
            <w:r>
              <w:rPr/>
              <w:t xml:space="preserve"> la pizarra digital. Las simulaciones se trabajan  a través de la resolución de problemas, lengua, dramatizaciones… en el aula y en el patio, utilizando videos, programas de la pizarra digital con el alumnado y las maestras. (La cortesía verbal se aplica siempre utilizando como modelo al maestro, siempre y cuando sea necesario). La cortesía no verbal se aplica cuando  se considera oportuno en el aula, en el patio, a través de gestos, seriedad, entonación.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  <w:t>2. Logros y dificultades en el proceso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Una vez finalizado el curso </w:t>
            </w:r>
            <w:r>
              <w:rPr/>
              <w:t xml:space="preserve">se han observado logros relacionados con el trabajo elaborado, teniendo en cuenta que nos hemos encontrado con dificultades relacionadas con la falta de hábitos. </w:t>
            </w:r>
            <w:r>
              <w:rPr/>
              <w:t>Además, deberíamos de hacer más hincapié en los textos argumentativos, los debates, los diálogos, las asambleas, eventos colectivos y más grabaciones para que los alumnos/as se auto evalúen.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rebuchet MS" w:ascii="Trebuchet MS" w:hAnsi="Trebuchet MS"/>
                <w:b/>
                <w:bCs/>
              </w:rPr>
              <w:t>3. Conclusiones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Este curso nos</w:t>
            </w:r>
            <w:r>
              <w:rPr/>
              <w:t xml:space="preserve"> ha </w:t>
            </w:r>
            <w:r>
              <w:rPr/>
              <w:t>parecido</w:t>
            </w:r>
            <w:r>
              <w:rPr/>
              <w:t xml:space="preserve"> interesante, </w:t>
            </w:r>
            <w:r>
              <w:rPr/>
              <w:t>pues hemos conocido formas de trabajar con el alumno/a que no sabíamos y hemos comprado que son eficaces para transmitir la información deseada al alumnado.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  <w:t>4. Perspectivas de continuidad para el próximo curso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Con respecto al próximo curso, como está ya planteado se va a tratar de continuar y mejorar para obtener resultados más óptimos.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709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15e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c15e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LibreOffice/5.1.4.2$Linux_x86 LibreOffice_project/10m0$Build-2</Application>
  <Pages>2</Pages>
  <Words>345</Words>
  <Characters>1824</Characters>
  <CharactersWithSpaces>2197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2017-05-20T09:55:00Z</dcterms:created>
  <dc:creator>Microsoft</dc:creator>
  <dc:description/>
  <dc:language>es-ES</dc:language>
  <cp:lastModifiedBy/>
  <dcterms:modified xsi:type="dcterms:W3CDTF">2017-05-24T14:28:01Z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