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1170C" w14:textId="77777777" w:rsidR="00290B55" w:rsidRDefault="00290B55" w:rsidP="00290B55">
      <w:pPr>
        <w:jc w:val="center"/>
        <w:rPr>
          <w:b/>
          <w:sz w:val="28"/>
          <w:szCs w:val="28"/>
        </w:rPr>
      </w:pPr>
      <w:r w:rsidRPr="00765109">
        <w:rPr>
          <w:b/>
          <w:sz w:val="28"/>
          <w:szCs w:val="28"/>
        </w:rPr>
        <w:t>MICROHABILIDADES DE LA EXPRESIÓ</w:t>
      </w:r>
      <w:r>
        <w:rPr>
          <w:b/>
          <w:sz w:val="28"/>
          <w:szCs w:val="28"/>
        </w:rPr>
        <w:t>N</w:t>
      </w:r>
      <w:r w:rsidRPr="00765109">
        <w:rPr>
          <w:b/>
          <w:sz w:val="28"/>
          <w:szCs w:val="28"/>
        </w:rPr>
        <w:t xml:space="preserve"> ORAL</w:t>
      </w:r>
    </w:p>
    <w:p w14:paraId="2C31170D" w14:textId="77777777" w:rsidR="00290B55" w:rsidRPr="00765109" w:rsidRDefault="00290B55" w:rsidP="00290B55">
      <w:pPr>
        <w:autoSpaceDE w:val="0"/>
        <w:autoSpaceDN w:val="0"/>
        <w:adjustRightInd w:val="0"/>
        <w:spacing w:after="0" w:line="240" w:lineRule="auto"/>
        <w:jc w:val="both"/>
        <w:rPr>
          <w:rFonts w:cs="Times New Roman"/>
          <w:sz w:val="24"/>
          <w:szCs w:val="24"/>
        </w:rPr>
      </w:pPr>
      <w:r w:rsidRPr="00765109">
        <w:rPr>
          <w:rFonts w:cs="Times New Roman"/>
          <w:sz w:val="24"/>
          <w:szCs w:val="24"/>
        </w:rPr>
        <w:t>La siguiente clasificación de microhabilidades establece los diversos objetivos de la expresión oral que se deben trabajar en clase. La lista incorpora tanto las destrezas de la conversación como las de la exposición oral.</w:t>
      </w:r>
    </w:p>
    <w:p w14:paraId="2C31170E" w14:textId="6D6CA8D0" w:rsidR="00290B55" w:rsidRPr="00765109" w:rsidRDefault="00290B55" w:rsidP="00290B55">
      <w:pPr>
        <w:autoSpaceDE w:val="0"/>
        <w:autoSpaceDN w:val="0"/>
        <w:adjustRightInd w:val="0"/>
        <w:spacing w:after="0" w:line="240" w:lineRule="auto"/>
        <w:jc w:val="both"/>
        <w:rPr>
          <w:rFonts w:cs="Times New Roman"/>
          <w:sz w:val="24"/>
          <w:szCs w:val="24"/>
        </w:rPr>
      </w:pPr>
      <w:r w:rsidRPr="00765109">
        <w:rPr>
          <w:rFonts w:cs="Times New Roman"/>
          <w:sz w:val="24"/>
          <w:szCs w:val="24"/>
        </w:rPr>
        <w:t xml:space="preserve">Estas microhabilidades tienen incidencia diversa en el currículum según la edad y el nivel </w:t>
      </w:r>
      <w:r>
        <w:rPr>
          <w:rFonts w:cs="Times New Roman"/>
          <w:sz w:val="24"/>
          <w:szCs w:val="24"/>
        </w:rPr>
        <w:t>del alumnado</w:t>
      </w:r>
      <w:r w:rsidRPr="00765109">
        <w:rPr>
          <w:rFonts w:cs="Times New Roman"/>
          <w:sz w:val="24"/>
          <w:szCs w:val="24"/>
        </w:rPr>
        <w:t>. Los pequeños tienen necesidad de trabajar los aspectos más globales y relevantes de la expresión (negociación de significado, interacción, evaluación de  l</w:t>
      </w:r>
      <w:r w:rsidR="005A1C8F">
        <w:rPr>
          <w:rFonts w:cs="Times New Roman"/>
          <w:sz w:val="24"/>
          <w:szCs w:val="24"/>
        </w:rPr>
        <w:t xml:space="preserve">a comprensión, etc.). Mientras </w:t>
      </w:r>
      <w:bookmarkStart w:id="0" w:name="_GoBack"/>
      <w:bookmarkEnd w:id="0"/>
      <w:r w:rsidRPr="00765109">
        <w:rPr>
          <w:rFonts w:cs="Times New Roman"/>
          <w:sz w:val="24"/>
          <w:szCs w:val="24"/>
        </w:rPr>
        <w:t>que los mayores ya pueden practicar los puntos más específicos (autocorrección, producción cuidada, preparación del discurso, etc.).</w:t>
      </w:r>
    </w:p>
    <w:p w14:paraId="2C31170F"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10" w14:textId="77777777" w:rsidR="00290B55" w:rsidRPr="00765109" w:rsidRDefault="00290B55" w:rsidP="00290B55">
      <w:pPr>
        <w:autoSpaceDE w:val="0"/>
        <w:autoSpaceDN w:val="0"/>
        <w:adjustRightInd w:val="0"/>
        <w:spacing w:after="0" w:line="240" w:lineRule="auto"/>
        <w:jc w:val="both"/>
        <w:rPr>
          <w:rFonts w:cs="Times New Roman"/>
          <w:b/>
          <w:bCs/>
          <w:i/>
          <w:iCs/>
          <w:sz w:val="24"/>
          <w:szCs w:val="24"/>
        </w:rPr>
      </w:pPr>
      <w:r w:rsidRPr="00765109">
        <w:rPr>
          <w:rFonts w:cs="Times New Roman"/>
          <w:b/>
          <w:bCs/>
          <w:i/>
          <w:iCs/>
          <w:sz w:val="24"/>
          <w:szCs w:val="24"/>
        </w:rPr>
        <w:t>Planificar el discurso.-</w:t>
      </w:r>
    </w:p>
    <w:p w14:paraId="2C311711"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12"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Analizar la situación para preparar la intervención.</w:t>
      </w:r>
    </w:p>
    <w:p w14:paraId="2C311713"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Usar soportes escritos para preparar la intervención (guiones, notas, apuntes…)</w:t>
      </w:r>
    </w:p>
    <w:p w14:paraId="2C311714"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Anticipar y preparar el tema (información, estructura, lenguaje, etc.)</w:t>
      </w:r>
    </w:p>
    <w:p w14:paraId="2C311715"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Anticipar y preparar la intervención.</w:t>
      </w:r>
    </w:p>
    <w:p w14:paraId="2C311716"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17" w14:textId="77777777" w:rsidR="00290B55" w:rsidRPr="00765109" w:rsidRDefault="00290B55" w:rsidP="00290B55">
      <w:pPr>
        <w:autoSpaceDE w:val="0"/>
        <w:autoSpaceDN w:val="0"/>
        <w:adjustRightInd w:val="0"/>
        <w:spacing w:after="0" w:line="240" w:lineRule="auto"/>
        <w:jc w:val="both"/>
        <w:rPr>
          <w:rFonts w:cs="Times New Roman"/>
          <w:b/>
          <w:bCs/>
          <w:i/>
          <w:iCs/>
          <w:sz w:val="24"/>
          <w:szCs w:val="24"/>
        </w:rPr>
      </w:pPr>
      <w:r w:rsidRPr="00765109">
        <w:rPr>
          <w:rFonts w:cs="Times New Roman"/>
          <w:b/>
          <w:bCs/>
          <w:i/>
          <w:iCs/>
          <w:sz w:val="24"/>
          <w:szCs w:val="24"/>
        </w:rPr>
        <w:t>Conducir el discurso.-</w:t>
      </w:r>
    </w:p>
    <w:p w14:paraId="2C311718"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19"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Conducir el tema:</w:t>
      </w:r>
    </w:p>
    <w:p w14:paraId="2C31171A"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Buscar temas adecuados para cada situación</w:t>
      </w:r>
    </w:p>
    <w:p w14:paraId="2C31171B"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Iniciar o proponer un tema</w:t>
      </w:r>
    </w:p>
    <w:p w14:paraId="2C31171C"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Desarrollar un tema</w:t>
      </w:r>
    </w:p>
    <w:p w14:paraId="2C31171D"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Dar por terminada una conversación</w:t>
      </w:r>
    </w:p>
    <w:p w14:paraId="2C31171E"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Conducir la conversación hacia un tema nuevo</w:t>
      </w:r>
    </w:p>
    <w:p w14:paraId="2C31171F"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Desviar o eludir un tema de conversación</w:t>
      </w:r>
    </w:p>
    <w:p w14:paraId="2C311720"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Relacionar un tema nuevo con uno viejo</w:t>
      </w:r>
    </w:p>
    <w:p w14:paraId="2C311721" w14:textId="77777777" w:rsidR="00290B55" w:rsidRPr="0042744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Saber abrir y cerrar un discurso oral</w:t>
      </w:r>
    </w:p>
    <w:p w14:paraId="2C311722"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Conducir la interacción:</w:t>
      </w:r>
    </w:p>
    <w:p w14:paraId="2C311723"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Manifestar que se quiere intervenir (con gestos, sonidos, frases)</w:t>
      </w:r>
    </w:p>
    <w:p w14:paraId="2C311724"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Escoger el momento adecuado para intervenir</w:t>
      </w:r>
    </w:p>
    <w:p w14:paraId="2C311725"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Utilizar eficazmente el turno de palabra</w:t>
      </w:r>
    </w:p>
    <w:p w14:paraId="2C311726" w14:textId="77777777" w:rsidR="00290B55" w:rsidRPr="00765109" w:rsidRDefault="00290B55" w:rsidP="00290B55">
      <w:pPr>
        <w:autoSpaceDE w:val="0"/>
        <w:autoSpaceDN w:val="0"/>
        <w:adjustRightInd w:val="0"/>
        <w:spacing w:after="0" w:line="240" w:lineRule="auto"/>
        <w:ind w:left="720"/>
        <w:jc w:val="both"/>
        <w:rPr>
          <w:rFonts w:cs="Times New Roman"/>
          <w:sz w:val="24"/>
          <w:szCs w:val="24"/>
        </w:rPr>
      </w:pPr>
      <w:r w:rsidRPr="00765109">
        <w:rPr>
          <w:rFonts w:cs="Times New Roman"/>
          <w:sz w:val="24"/>
          <w:szCs w:val="24"/>
        </w:rPr>
        <w:t>. aprovechar el tiempo para decir todo lo que se considere necesario</w:t>
      </w:r>
    </w:p>
    <w:p w14:paraId="2C311727" w14:textId="77777777" w:rsidR="00290B55" w:rsidRPr="00765109" w:rsidRDefault="00290B55" w:rsidP="00290B55">
      <w:pPr>
        <w:autoSpaceDE w:val="0"/>
        <w:autoSpaceDN w:val="0"/>
        <w:adjustRightInd w:val="0"/>
        <w:spacing w:after="0" w:line="240" w:lineRule="auto"/>
        <w:ind w:left="720"/>
        <w:jc w:val="both"/>
        <w:rPr>
          <w:rFonts w:cs="Times New Roman"/>
          <w:sz w:val="24"/>
          <w:szCs w:val="24"/>
        </w:rPr>
      </w:pPr>
      <w:r w:rsidRPr="00765109">
        <w:rPr>
          <w:rFonts w:cs="Times New Roman"/>
          <w:sz w:val="24"/>
          <w:szCs w:val="24"/>
        </w:rPr>
        <w:t>. ceñirse a las convenciones del tipo de discurso (tema, estructura, etc.)</w:t>
      </w:r>
    </w:p>
    <w:p w14:paraId="2C311728" w14:textId="77777777" w:rsidR="00290B55" w:rsidRPr="00765109" w:rsidRDefault="00290B55" w:rsidP="00290B55">
      <w:pPr>
        <w:autoSpaceDE w:val="0"/>
        <w:autoSpaceDN w:val="0"/>
        <w:adjustRightInd w:val="0"/>
        <w:spacing w:after="0" w:line="240" w:lineRule="auto"/>
        <w:ind w:left="720"/>
        <w:jc w:val="both"/>
        <w:rPr>
          <w:rFonts w:cs="Times New Roman"/>
          <w:sz w:val="24"/>
          <w:szCs w:val="24"/>
        </w:rPr>
      </w:pPr>
      <w:r w:rsidRPr="00765109">
        <w:rPr>
          <w:rFonts w:cs="Times New Roman"/>
          <w:sz w:val="24"/>
          <w:szCs w:val="24"/>
        </w:rPr>
        <w:t>. marcar el inicio o y el final del turno de palabra.</w:t>
      </w:r>
    </w:p>
    <w:p w14:paraId="2C311729"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 xml:space="preserve">Reconocer cuando un interlocutor pide la palabra </w:t>
      </w:r>
    </w:p>
    <w:p w14:paraId="2C31172A"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Ceder el turno de palabra a un interlocutor en el momento adecuado.</w:t>
      </w:r>
    </w:p>
    <w:p w14:paraId="2C31172B"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2C" w14:textId="77777777" w:rsidR="00290B55" w:rsidRPr="00765109" w:rsidRDefault="00290B55" w:rsidP="00290B55">
      <w:pPr>
        <w:autoSpaceDE w:val="0"/>
        <w:autoSpaceDN w:val="0"/>
        <w:adjustRightInd w:val="0"/>
        <w:spacing w:after="0" w:line="240" w:lineRule="auto"/>
        <w:jc w:val="both"/>
        <w:rPr>
          <w:rFonts w:cs="Times New Roman"/>
          <w:b/>
          <w:bCs/>
          <w:i/>
          <w:iCs/>
          <w:sz w:val="24"/>
          <w:szCs w:val="24"/>
        </w:rPr>
      </w:pPr>
      <w:r w:rsidRPr="00765109">
        <w:rPr>
          <w:rFonts w:cs="Times New Roman"/>
          <w:b/>
          <w:bCs/>
          <w:i/>
          <w:iCs/>
          <w:sz w:val="24"/>
          <w:szCs w:val="24"/>
        </w:rPr>
        <w:t>Negociar el significado.-</w:t>
      </w:r>
    </w:p>
    <w:p w14:paraId="2C31172D"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2E"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 xml:space="preserve">Adaptar el grado de especificación del texto </w:t>
      </w:r>
    </w:p>
    <w:p w14:paraId="2C31172F"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Evaluar la comprensión del interlocutor</w:t>
      </w:r>
    </w:p>
    <w:p w14:paraId="2C311730"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Usar circunloquios para suplir vacíos léxicos</w:t>
      </w:r>
    </w:p>
    <w:p w14:paraId="2C311731"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32"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33" w14:textId="77777777" w:rsidR="00290B55" w:rsidRPr="00765109" w:rsidRDefault="00290B55" w:rsidP="00290B55">
      <w:pPr>
        <w:autoSpaceDE w:val="0"/>
        <w:autoSpaceDN w:val="0"/>
        <w:adjustRightInd w:val="0"/>
        <w:spacing w:after="0" w:line="240" w:lineRule="auto"/>
        <w:jc w:val="both"/>
        <w:rPr>
          <w:rFonts w:cs="Times New Roman"/>
          <w:b/>
          <w:bCs/>
          <w:i/>
          <w:iCs/>
          <w:sz w:val="24"/>
          <w:szCs w:val="24"/>
        </w:rPr>
      </w:pPr>
      <w:r w:rsidRPr="00765109">
        <w:rPr>
          <w:rFonts w:cs="Times New Roman"/>
          <w:b/>
          <w:bCs/>
          <w:i/>
          <w:iCs/>
          <w:sz w:val="24"/>
          <w:szCs w:val="24"/>
        </w:rPr>
        <w:lastRenderedPageBreak/>
        <w:t xml:space="preserve">Producir el texto.- </w:t>
      </w:r>
    </w:p>
    <w:p w14:paraId="2C311734"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35"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Facilitar la producción</w:t>
      </w:r>
    </w:p>
    <w:p w14:paraId="2C311736"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Simplificar la estructura de la frase</w:t>
      </w:r>
    </w:p>
    <w:p w14:paraId="2C311737"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Eludir todas las palabras irrelevantes</w:t>
      </w:r>
    </w:p>
    <w:p w14:paraId="2C311738"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Usar expresiones y fórmulas de las rutinas</w:t>
      </w:r>
    </w:p>
    <w:p w14:paraId="2C311739" w14:textId="77777777" w:rsidR="00290B55" w:rsidRPr="0042744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Usar muletillas, pausas y repeticiones</w:t>
      </w:r>
    </w:p>
    <w:p w14:paraId="2C31173A"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Compensar la producción</w:t>
      </w:r>
    </w:p>
    <w:p w14:paraId="2C31173B"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Autocorregirse</w:t>
      </w:r>
    </w:p>
    <w:p w14:paraId="2C31173C"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Precisar y pulir el significado de lo que se quiere decir</w:t>
      </w:r>
    </w:p>
    <w:p w14:paraId="2C31173D"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Repetir y resumir las ideas importantes</w:t>
      </w:r>
    </w:p>
    <w:p w14:paraId="2C31173E" w14:textId="77777777" w:rsidR="00290B55" w:rsidRPr="0042744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Reformular lo que se ha dicho</w:t>
      </w:r>
    </w:p>
    <w:p w14:paraId="2C31173F"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Corregir la producción</w:t>
      </w:r>
    </w:p>
    <w:p w14:paraId="2C311740"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Articular con claridad los sonidos del discurso</w:t>
      </w:r>
    </w:p>
    <w:p w14:paraId="2C311741"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Aplicar las reglas gramaticales de la lengua (normativa)</w:t>
      </w:r>
    </w:p>
    <w:p w14:paraId="2C311742"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43"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44" w14:textId="77777777" w:rsidR="00290B55" w:rsidRPr="00765109" w:rsidRDefault="00290B55" w:rsidP="00290B55">
      <w:pPr>
        <w:autoSpaceDE w:val="0"/>
        <w:autoSpaceDN w:val="0"/>
        <w:adjustRightInd w:val="0"/>
        <w:spacing w:after="0" w:line="240" w:lineRule="auto"/>
        <w:jc w:val="both"/>
        <w:rPr>
          <w:rFonts w:cs="Times New Roman"/>
          <w:b/>
          <w:bCs/>
          <w:i/>
          <w:iCs/>
          <w:sz w:val="24"/>
          <w:szCs w:val="24"/>
        </w:rPr>
      </w:pPr>
      <w:r w:rsidRPr="00765109">
        <w:rPr>
          <w:rFonts w:cs="Times New Roman"/>
          <w:b/>
          <w:bCs/>
          <w:i/>
          <w:iCs/>
          <w:sz w:val="24"/>
          <w:szCs w:val="24"/>
        </w:rPr>
        <w:t>Aspectos no verbales.-</w:t>
      </w:r>
    </w:p>
    <w:p w14:paraId="2C311745"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46"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Controlar la voz: impostación, volumen, matices, tono</w:t>
      </w:r>
    </w:p>
    <w:p w14:paraId="2C311747"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Usar códigos no verbales adecuados: gestos y movimientos</w:t>
      </w:r>
    </w:p>
    <w:p w14:paraId="2C311748" w14:textId="77777777" w:rsidR="00290B55" w:rsidRPr="00765109" w:rsidRDefault="00290B55" w:rsidP="00290B55">
      <w:pPr>
        <w:numPr>
          <w:ilvl w:val="0"/>
          <w:numId w:val="7"/>
        </w:numPr>
        <w:autoSpaceDE w:val="0"/>
        <w:autoSpaceDN w:val="0"/>
        <w:adjustRightInd w:val="0"/>
        <w:spacing w:after="0" w:line="240" w:lineRule="auto"/>
        <w:jc w:val="both"/>
        <w:rPr>
          <w:rFonts w:cs="Times New Roman"/>
          <w:sz w:val="24"/>
          <w:szCs w:val="24"/>
        </w:rPr>
      </w:pPr>
      <w:r w:rsidRPr="00765109">
        <w:rPr>
          <w:rFonts w:cs="Times New Roman"/>
          <w:sz w:val="24"/>
          <w:szCs w:val="24"/>
        </w:rPr>
        <w:t>Controlar la mirada: dirigida a los interlocutores.</w:t>
      </w:r>
    </w:p>
    <w:p w14:paraId="2C311749"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4A"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4B" w14:textId="77777777" w:rsidR="00290B55" w:rsidRPr="00765109" w:rsidRDefault="00290B55" w:rsidP="00290B55">
      <w:pPr>
        <w:autoSpaceDE w:val="0"/>
        <w:autoSpaceDN w:val="0"/>
        <w:adjustRightInd w:val="0"/>
        <w:spacing w:after="0" w:line="240" w:lineRule="auto"/>
        <w:jc w:val="both"/>
        <w:rPr>
          <w:rFonts w:cs="Calibri"/>
          <w:sz w:val="24"/>
          <w:szCs w:val="24"/>
        </w:rPr>
      </w:pPr>
    </w:p>
    <w:p w14:paraId="2C31174C" w14:textId="77777777" w:rsidR="00290B55" w:rsidRPr="00765109" w:rsidRDefault="00290B55" w:rsidP="00290B55">
      <w:pPr>
        <w:jc w:val="both"/>
        <w:rPr>
          <w:sz w:val="24"/>
          <w:szCs w:val="24"/>
        </w:rPr>
      </w:pPr>
    </w:p>
    <w:p w14:paraId="2C31174D" w14:textId="77777777" w:rsidR="00402645" w:rsidRPr="00290B55" w:rsidRDefault="00402645" w:rsidP="00290B55"/>
    <w:sectPr w:rsidR="00402645" w:rsidRPr="00290B5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1750" w14:textId="77777777" w:rsidR="00B157E0" w:rsidRDefault="00B157E0" w:rsidP="00AA16C8">
      <w:pPr>
        <w:spacing w:after="0" w:line="240" w:lineRule="auto"/>
      </w:pPr>
      <w:r>
        <w:separator/>
      </w:r>
    </w:p>
  </w:endnote>
  <w:endnote w:type="continuationSeparator" w:id="0">
    <w:p w14:paraId="2C311751" w14:textId="77777777" w:rsidR="00B157E0" w:rsidRDefault="00B157E0" w:rsidP="00AA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1757" w14:textId="77777777" w:rsidR="00AA16C8" w:rsidRDefault="00AA16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color w:val="92D050"/>
        <w:sz w:val="24"/>
        <w:szCs w:val="24"/>
      </w:rPr>
      <w:alias w:val="Organización"/>
      <w:id w:val="270665196"/>
      <w:dataBinding w:prefixMappings="xmlns:ns0='http://schemas.openxmlformats.org/officeDocument/2006/extended-properties'" w:xpath="/ns0:Properties[1]/ns0:Company[1]" w:storeItemID="{6668398D-A668-4E3E-A5EB-62B293D839F1}"/>
      <w:text/>
    </w:sdtPr>
    <w:sdtEndPr/>
    <w:sdtContent>
      <w:p w14:paraId="2C311758" w14:textId="77777777" w:rsidR="00AA16C8" w:rsidRPr="00AA16C8" w:rsidRDefault="00AA16C8">
        <w:pPr>
          <w:pStyle w:val="Piedepgina"/>
          <w:pBdr>
            <w:top w:val="single" w:sz="24" w:space="5" w:color="9BBB59" w:themeColor="accent3"/>
          </w:pBdr>
          <w:jc w:val="right"/>
          <w:rPr>
            <w:i/>
            <w:iCs/>
            <w:color w:val="92D050"/>
          </w:rPr>
        </w:pPr>
        <w:r w:rsidRPr="00AA16C8">
          <w:rPr>
            <w:i/>
            <w:iCs/>
            <w:color w:val="92D050"/>
            <w:sz w:val="24"/>
            <w:szCs w:val="24"/>
          </w:rPr>
          <w:t>C.E.I.P. Federico García Lorca</w:t>
        </w:r>
      </w:p>
    </w:sdtContent>
  </w:sdt>
  <w:p w14:paraId="2C311759" w14:textId="77777777" w:rsidR="00AA16C8" w:rsidRDefault="00AA16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175B" w14:textId="77777777" w:rsidR="00AA16C8" w:rsidRDefault="00AA16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1174E" w14:textId="77777777" w:rsidR="00B157E0" w:rsidRDefault="00B157E0" w:rsidP="00AA16C8">
      <w:pPr>
        <w:spacing w:after="0" w:line="240" w:lineRule="auto"/>
      </w:pPr>
      <w:r>
        <w:separator/>
      </w:r>
    </w:p>
  </w:footnote>
  <w:footnote w:type="continuationSeparator" w:id="0">
    <w:p w14:paraId="2C31174F" w14:textId="77777777" w:rsidR="00B157E0" w:rsidRDefault="00B157E0" w:rsidP="00AA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1752" w14:textId="77777777" w:rsidR="00AA16C8" w:rsidRDefault="005A1C8F">
    <w:pPr>
      <w:pStyle w:val="Encabezado"/>
    </w:pPr>
    <w:r>
      <w:rPr>
        <w:noProof/>
      </w:rPr>
      <w:pict w14:anchorId="2C311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4188" o:spid="_x0000_s2055" type="#_x0000_t75" style="position:absolute;margin-left:0;margin-top:0;width:425.15pt;height:409.35pt;z-index:-251657216;mso-position-horizontal:center;mso-position-horizontal-relative:margin;mso-position-vertical:center;mso-position-vertical-relative:margin" o:allowincell="f">
          <v:imagedata r:id="rId1" o:title="ima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17"/>
      <w:gridCol w:w="1087"/>
    </w:tblGrid>
    <w:tr w:rsidR="00AA16C8" w:rsidRPr="00AA16C8" w14:paraId="2C311755" w14:textId="77777777">
      <w:trPr>
        <w:trHeight w:val="288"/>
      </w:trPr>
      <w:sdt>
        <w:sdtPr>
          <w:rPr>
            <w:rFonts w:eastAsiaTheme="majorEastAsia" w:cstheme="majorBidi"/>
            <w:sz w:val="24"/>
            <w:szCs w:val="24"/>
          </w:rPr>
          <w:alias w:val="Título"/>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2C311753" w14:textId="77777777" w:rsidR="00AA16C8" w:rsidRPr="00AA16C8" w:rsidRDefault="00AA16C8" w:rsidP="00AA16C8">
              <w:pPr>
                <w:pStyle w:val="Encabezado"/>
                <w:jc w:val="right"/>
                <w:rPr>
                  <w:rFonts w:eastAsiaTheme="majorEastAsia" w:cstheme="majorBidi"/>
                  <w:sz w:val="24"/>
                  <w:szCs w:val="24"/>
                </w:rPr>
              </w:pPr>
              <w:r>
                <w:rPr>
                  <w:rFonts w:eastAsiaTheme="majorEastAsia" w:cstheme="majorBidi"/>
                  <w:sz w:val="24"/>
                  <w:szCs w:val="24"/>
                </w:rPr>
                <w:t>AUTOFORMACIÓN: PROGRAMA DE EXPRESIÓN ORAL</w:t>
              </w:r>
            </w:p>
          </w:tc>
        </w:sdtContent>
      </w:sdt>
      <w:sdt>
        <w:sdtPr>
          <w:rPr>
            <w:rFonts w:eastAsiaTheme="majorEastAsia" w:cstheme="majorBidi"/>
            <w:b/>
            <w:bCs/>
            <w:color w:val="92D050"/>
            <w:sz w:val="24"/>
            <w:szCs w:val="24"/>
          </w:rPr>
          <w:alias w:val="Año"/>
          <w:id w:val="77761609"/>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tcPr>
            <w:p w14:paraId="2C311754" w14:textId="77777777" w:rsidR="00AA16C8" w:rsidRPr="00AA16C8" w:rsidRDefault="00AA16C8" w:rsidP="00AA16C8">
              <w:pPr>
                <w:pStyle w:val="Encabezado"/>
                <w:rPr>
                  <w:rFonts w:eastAsiaTheme="majorEastAsia" w:cstheme="majorBidi"/>
                  <w:b/>
                  <w:bCs/>
                  <w:color w:val="92D050"/>
                  <w:sz w:val="24"/>
                  <w:szCs w:val="24"/>
                </w:rPr>
              </w:pPr>
              <w:r w:rsidRPr="00AA16C8">
                <w:rPr>
                  <w:rFonts w:eastAsiaTheme="majorEastAsia" w:cstheme="majorBidi"/>
                  <w:b/>
                  <w:bCs/>
                  <w:color w:val="92D050"/>
                  <w:sz w:val="24"/>
                  <w:szCs w:val="24"/>
                </w:rPr>
                <w:t>16/17</w:t>
              </w:r>
            </w:p>
          </w:tc>
        </w:sdtContent>
      </w:sdt>
    </w:tr>
  </w:tbl>
  <w:p w14:paraId="2C311756" w14:textId="77777777" w:rsidR="00AA16C8" w:rsidRDefault="005A1C8F">
    <w:pPr>
      <w:pStyle w:val="Encabezado"/>
    </w:pPr>
    <w:r>
      <w:rPr>
        <w:noProof/>
      </w:rPr>
      <w:pict w14:anchorId="2C311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4189" o:spid="_x0000_s2056" type="#_x0000_t75" style="position:absolute;margin-left:0;margin-top:0;width:425.15pt;height:409.35pt;z-index:-251656192;mso-position-horizontal:center;mso-position-horizontal-relative:margin;mso-position-vertical:center;mso-position-vertical-relative:margin" o:allowincell="f">
          <v:imagedata r:id="rId1" o:title="ima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175A" w14:textId="77777777" w:rsidR="00AA16C8" w:rsidRDefault="005A1C8F">
    <w:pPr>
      <w:pStyle w:val="Encabezado"/>
    </w:pPr>
    <w:r>
      <w:rPr>
        <w:noProof/>
      </w:rPr>
      <w:pict w14:anchorId="2C311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4187" o:spid="_x0000_s2054" type="#_x0000_t75" style="position:absolute;margin-left:0;margin-top:0;width:425.15pt;height:409.35pt;z-index:-251658240;mso-position-horizontal:center;mso-position-horizontal-relative:margin;mso-position-vertical:center;mso-position-vertical-relative:margin" o:allowincell="f">
          <v:imagedata r:id="rId1" o:title="ima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FAD3C2"/>
    <w:lvl w:ilvl="0">
      <w:numFmt w:val="bullet"/>
      <w:lvlText w:val="*"/>
      <w:lvlJc w:val="left"/>
    </w:lvl>
  </w:abstractNum>
  <w:abstractNum w:abstractNumId="1" w15:restartNumberingAfterBreak="0">
    <w:nsid w:val="06674A9C"/>
    <w:multiLevelType w:val="hybridMultilevel"/>
    <w:tmpl w:val="F95827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F83F81"/>
    <w:multiLevelType w:val="hybridMultilevel"/>
    <w:tmpl w:val="AB66E9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C41B2C"/>
    <w:multiLevelType w:val="hybridMultilevel"/>
    <w:tmpl w:val="4E241BE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891EEC"/>
    <w:multiLevelType w:val="hybridMultilevel"/>
    <w:tmpl w:val="07604C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CA7EC8"/>
    <w:multiLevelType w:val="hybridMultilevel"/>
    <w:tmpl w:val="0ECAC36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C53B36"/>
    <w:multiLevelType w:val="hybridMultilevel"/>
    <w:tmpl w:val="A3C42C4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E0"/>
    <w:rsid w:val="001A008A"/>
    <w:rsid w:val="00290B55"/>
    <w:rsid w:val="00402645"/>
    <w:rsid w:val="005A1C8F"/>
    <w:rsid w:val="00AA16C8"/>
    <w:rsid w:val="00B15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C31170C"/>
  <w15:docId w15:val="{21174F16-1803-4D89-ACA8-496D39FE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1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16C8"/>
  </w:style>
  <w:style w:type="paragraph" w:styleId="Piedepgina">
    <w:name w:val="footer"/>
    <w:basedOn w:val="Normal"/>
    <w:link w:val="PiedepginaCar"/>
    <w:uiPriority w:val="99"/>
    <w:unhideWhenUsed/>
    <w:rsid w:val="00AA1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16C8"/>
  </w:style>
  <w:style w:type="paragraph" w:styleId="Textodeglobo">
    <w:name w:val="Balloon Text"/>
    <w:basedOn w:val="Normal"/>
    <w:link w:val="TextodegloboCar"/>
    <w:uiPriority w:val="99"/>
    <w:semiHidden/>
    <w:unhideWhenUsed/>
    <w:rsid w:val="00AA1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6C8"/>
    <w:rPr>
      <w:rFonts w:ascii="Tahoma" w:hAnsi="Tahoma" w:cs="Tahoma"/>
      <w:sz w:val="16"/>
      <w:szCs w:val="16"/>
    </w:rPr>
  </w:style>
  <w:style w:type="paragraph" w:styleId="Prrafodelista">
    <w:name w:val="List Paragraph"/>
    <w:basedOn w:val="Normal"/>
    <w:uiPriority w:val="34"/>
    <w:qFormat/>
    <w:rsid w:val="001A008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Formaci&#243;n\Plantilla%20Formac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16/17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Plantilla Formación.dotx</Template>
  <TotalTime>1</TotalTime>
  <Pages>2</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AUTOFORMACIÓN: PROGRAMA DE EXPRESIÓN ORAL</vt:lpstr>
    </vt:vector>
  </TitlesOfParts>
  <Company>C.E.I.P. Federico García Lorca</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AUTOFORMACIÓN: PROGRAMA DE EXPRESIÓN ORAL</dc:title>
  <dc:creator>www.intercambiosvirtuales.org</dc:creator>
  <cp:lastModifiedBy>Su .</cp:lastModifiedBy>
  <cp:revision>3</cp:revision>
  <dcterms:created xsi:type="dcterms:W3CDTF">2016-11-23T19:16:00Z</dcterms:created>
  <dcterms:modified xsi:type="dcterms:W3CDTF">2017-01-08T11:42:00Z</dcterms:modified>
</cp:coreProperties>
</file>