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color w:val="9900ff"/>
          <w:sz w:val="36"/>
          <w:szCs w:val="36"/>
          <w:highlight w:val="white"/>
          <w:rtl w:val="0"/>
        </w:rPr>
        <w:t xml:space="preserve">TESIS DOCTORALES , PROFESORADO DEL CONSERVATORIO SUPERIOR DE DANZA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MATILDE PÉREZ GARCÍA:  “Artés  escénicas y postmodernidad. El Caso de la Danza  en la práctica Teatral Andaluza.”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JOAQUÍN NO SÁNCHEZ: “Factores inherentes a la selección de participantes y semifinalistas en concursos internacionales de piano: el caso María Canals de Barcelona”.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MARIA DOLORES MORENO BONILLA : “ Evaluación de la creatividad en Danza: un estudio comparativo del nivel de creatividad motriz en bailarines de cuatro estilos de Danza “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MARINA BARRIENTOS BÁEZ : “ Origen y evolución del festival Internacional de música y danza de Nerja ( 1959-1970 )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MARIA JESÚS BARRIOS PERALBO : “ La representación de la Danza Española en el Cine Español durante el Franquismo ( 1959- 1970 ): El caso de la Danza Estilizada, un estudio de su evolución a través del análisis coreográfico” 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CARMEN GARCÍA JARA: “ Folklore y comunicación: Estudio de la música de tradición oral en la Manchuela “ 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EVA DE ALVA COBOS : “ Motivación, pasión y autoestima en la danza: El caso del alumnado del Conservatorio Superior de Danza de Málaga .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