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4D" w:rsidRDefault="004D4DFF">
      <w:pPr>
        <w:pStyle w:val="Encabezado4"/>
        <w:rPr>
          <w:lang w:eastAsia="es-ES"/>
        </w:rPr>
      </w:pPr>
      <w:proofErr w:type="spellStart"/>
      <w:r>
        <w:rPr>
          <w:lang w:eastAsia="es-ES"/>
        </w:rPr>
        <w:t>Estructura</w:t>
      </w:r>
      <w:proofErr w:type="spellEnd"/>
      <w:r>
        <w:rPr>
          <w:lang w:eastAsia="es-ES"/>
        </w:rPr>
        <w:t xml:space="preserve"> de </w:t>
      </w:r>
      <w:proofErr w:type="spellStart"/>
      <w:r>
        <w:rPr>
          <w:lang w:eastAsia="es-ES"/>
        </w:rPr>
        <w:t>una</w:t>
      </w:r>
      <w:proofErr w:type="spellEnd"/>
      <w:r>
        <w:rPr>
          <w:lang w:eastAsia="es-ES"/>
        </w:rPr>
        <w:t xml:space="preserve"> UDI: </w:t>
      </w:r>
      <w:proofErr w:type="spellStart"/>
      <w:r>
        <w:rPr>
          <w:lang w:eastAsia="es-ES"/>
        </w:rPr>
        <w:t>Transposición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Didáctica</w:t>
      </w:r>
      <w:proofErr w:type="spellEnd"/>
    </w:p>
    <w:p w:rsidR="004A414D" w:rsidRDefault="004A414D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"/>
        <w:gridCol w:w="950"/>
        <w:gridCol w:w="449"/>
        <w:gridCol w:w="798"/>
        <w:gridCol w:w="637"/>
        <w:gridCol w:w="213"/>
        <w:gridCol w:w="550"/>
        <w:gridCol w:w="303"/>
        <w:gridCol w:w="838"/>
        <w:gridCol w:w="711"/>
        <w:gridCol w:w="348"/>
        <w:gridCol w:w="1099"/>
        <w:gridCol w:w="1097"/>
        <w:gridCol w:w="2198"/>
        <w:gridCol w:w="553"/>
        <w:gridCol w:w="1645"/>
        <w:gridCol w:w="2202"/>
      </w:tblGrid>
      <w:tr w:rsidR="004A414D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4A414D" w:rsidRDefault="004D4DFF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22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Default="008053F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Física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Química</w:t>
            </w:r>
            <w:proofErr w:type="spellEnd"/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4A414D" w:rsidRDefault="004D4DFF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10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Default="008053F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3º ESO</w:t>
            </w: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4A414D" w:rsidRDefault="004D4DFF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NOMBRE DE LA UDI:</w:t>
            </w:r>
          </w:p>
        </w:tc>
        <w:tc>
          <w:tcPr>
            <w:tcW w:w="91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Default="008053F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La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materia</w:t>
            </w:r>
            <w:proofErr w:type="spellEnd"/>
          </w:p>
        </w:tc>
      </w:tr>
      <w:tr w:rsidR="004A414D">
        <w:trPr>
          <w:trHeight w:val="207"/>
        </w:trPr>
        <w:tc>
          <w:tcPr>
            <w:tcW w:w="15397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4A414D" w:rsidRDefault="004D4DFF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CONCRECIÓN CURRICULAR</w:t>
            </w:r>
          </w:p>
        </w:tc>
      </w:tr>
      <w:tr w:rsidR="004A414D">
        <w:trPr>
          <w:trHeight w:val="24"/>
        </w:trPr>
        <w:tc>
          <w:tcPr>
            <w:tcW w:w="3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</w:tcPr>
          <w:p w:rsidR="004A414D" w:rsidRDefault="004D4DFF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EVALUACIÓN Y COMPETENCIAS CLAVE</w:t>
            </w:r>
          </w:p>
        </w:tc>
        <w:tc>
          <w:tcPr>
            <w:tcW w:w="3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</w:tcPr>
          <w:p w:rsidR="004A414D" w:rsidRDefault="004D4DFF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3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</w:tcPr>
          <w:p w:rsidR="004A414D" w:rsidRDefault="004D4DFF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CONTENIDOS</w:t>
            </w:r>
          </w:p>
        </w:tc>
        <w:tc>
          <w:tcPr>
            <w:tcW w:w="3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</w:tcPr>
          <w:p w:rsidR="004A414D" w:rsidRDefault="004D4DFF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</w:t>
            </w:r>
          </w:p>
        </w:tc>
      </w:tr>
      <w:tr w:rsidR="004A414D">
        <w:trPr>
          <w:trHeight w:val="420"/>
        </w:trPr>
        <w:tc>
          <w:tcPr>
            <w:tcW w:w="3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A11" w:rsidRDefault="00303A11" w:rsidP="00303A11">
            <w:pPr>
              <w:spacing w:after="0"/>
              <w:contextualSpacing/>
              <w:jc w:val="both"/>
            </w:pPr>
            <w:r>
              <w:t xml:space="preserve">1. </w:t>
            </w:r>
            <w:proofErr w:type="spellStart"/>
            <w:r>
              <w:t>Reconocer</w:t>
            </w:r>
            <w:proofErr w:type="spellEnd"/>
            <w:r>
              <w:t xml:space="preserve"> que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modelos</w:t>
            </w:r>
            <w:proofErr w:type="spellEnd"/>
            <w:r>
              <w:t xml:space="preserve"> </w:t>
            </w:r>
            <w:proofErr w:type="spellStart"/>
            <w:r>
              <w:t>atómicos</w:t>
            </w:r>
            <w:proofErr w:type="spellEnd"/>
            <w:r>
              <w:t xml:space="preserve"> son </w:t>
            </w:r>
            <w:proofErr w:type="spellStart"/>
            <w:r>
              <w:t>instrumentos</w:t>
            </w:r>
            <w:proofErr w:type="spellEnd"/>
            <w:r>
              <w:t xml:space="preserve"> </w:t>
            </w:r>
            <w:proofErr w:type="spellStart"/>
            <w:r>
              <w:t>interpretativos</w:t>
            </w:r>
            <w:proofErr w:type="spellEnd"/>
            <w:r>
              <w:t xml:space="preserve"> de las </w:t>
            </w:r>
            <w:proofErr w:type="spellStart"/>
            <w:r>
              <w:t>distintas</w:t>
            </w:r>
            <w:proofErr w:type="spellEnd"/>
            <w:r>
              <w:t xml:space="preserve"> </w:t>
            </w:r>
            <w:proofErr w:type="spellStart"/>
            <w:r>
              <w:t>teorías</w:t>
            </w:r>
            <w:proofErr w:type="spellEnd"/>
            <w:r>
              <w:t xml:space="preserve"> y la </w:t>
            </w:r>
            <w:proofErr w:type="spellStart"/>
            <w:r>
              <w:t>necesidad</w:t>
            </w:r>
            <w:proofErr w:type="spellEnd"/>
            <w:r>
              <w:t xml:space="preserve"> de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utilización</w:t>
            </w:r>
            <w:proofErr w:type="spellEnd"/>
            <w:r>
              <w:t xml:space="preserve"> para la </w:t>
            </w:r>
            <w:proofErr w:type="spellStart"/>
            <w:r>
              <w:t>comprensión</w:t>
            </w:r>
            <w:proofErr w:type="spellEnd"/>
            <w:r>
              <w:t xml:space="preserve"> de</w:t>
            </w:r>
          </w:p>
          <w:p w:rsidR="00303A11" w:rsidRDefault="00303A11" w:rsidP="00303A11">
            <w:pPr>
              <w:snapToGrid w:val="0"/>
              <w:spacing w:before="57" w:line="288" w:lineRule="auto"/>
            </w:pPr>
            <w:proofErr w:type="gramStart"/>
            <w:r>
              <w:t>la</w:t>
            </w:r>
            <w:proofErr w:type="gramEnd"/>
            <w:r>
              <w:t xml:space="preserve"> </w:t>
            </w:r>
            <w:proofErr w:type="spellStart"/>
            <w:r>
              <w:t>estructura</w:t>
            </w:r>
            <w:proofErr w:type="spellEnd"/>
            <w:r>
              <w:t xml:space="preserve"> </w:t>
            </w:r>
            <w:proofErr w:type="spellStart"/>
            <w:r>
              <w:t>interna</w:t>
            </w:r>
            <w:proofErr w:type="spellEnd"/>
            <w:r>
              <w:t xml:space="preserve"> de la </w:t>
            </w:r>
            <w:proofErr w:type="spellStart"/>
            <w:r>
              <w:t>materia</w:t>
            </w:r>
            <w:proofErr w:type="spellEnd"/>
            <w:r>
              <w:t xml:space="preserve">. CMCT, CAA. </w:t>
            </w:r>
          </w:p>
          <w:p w:rsidR="00303A11" w:rsidRDefault="00303A11" w:rsidP="00303A11">
            <w:pPr>
              <w:snapToGrid w:val="0"/>
              <w:spacing w:before="57" w:line="288" w:lineRule="auto"/>
            </w:pPr>
            <w:r>
              <w:t xml:space="preserve">2. </w:t>
            </w:r>
            <w:proofErr w:type="spellStart"/>
            <w:r>
              <w:t>Analizar</w:t>
            </w:r>
            <w:proofErr w:type="spellEnd"/>
            <w:r>
              <w:t xml:space="preserve"> la </w:t>
            </w:r>
            <w:proofErr w:type="spellStart"/>
            <w:r>
              <w:t>utilidad</w:t>
            </w:r>
            <w:proofErr w:type="spellEnd"/>
            <w:r>
              <w:t xml:space="preserve"> </w:t>
            </w:r>
            <w:proofErr w:type="spellStart"/>
            <w:r>
              <w:t>científica</w:t>
            </w:r>
            <w:proofErr w:type="spellEnd"/>
            <w:r>
              <w:t xml:space="preserve"> y </w:t>
            </w:r>
            <w:proofErr w:type="spellStart"/>
            <w:r>
              <w:t>tecnológica</w:t>
            </w:r>
            <w:proofErr w:type="spellEnd"/>
            <w:r>
              <w:t xml:space="preserve"> de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isótopos</w:t>
            </w:r>
            <w:proofErr w:type="spellEnd"/>
            <w:r>
              <w:t xml:space="preserve"> </w:t>
            </w:r>
            <w:proofErr w:type="spellStart"/>
            <w:r>
              <w:t>radiactivos</w:t>
            </w:r>
            <w:proofErr w:type="spellEnd"/>
            <w:r>
              <w:t>. CCL, CAA, CSC.</w:t>
            </w:r>
          </w:p>
          <w:p w:rsidR="00303A11" w:rsidRDefault="00303A11" w:rsidP="00303A11">
            <w:pPr>
              <w:snapToGrid w:val="0"/>
              <w:spacing w:before="57" w:line="288" w:lineRule="auto"/>
            </w:pPr>
            <w:r>
              <w:t xml:space="preserve"> 3. </w:t>
            </w:r>
            <w:proofErr w:type="spellStart"/>
            <w:r>
              <w:t>Interpretar</w:t>
            </w:r>
            <w:proofErr w:type="spellEnd"/>
            <w:r>
              <w:t xml:space="preserve"> la </w:t>
            </w:r>
            <w:proofErr w:type="spellStart"/>
            <w:r>
              <w:t>ordenación</w:t>
            </w:r>
            <w:proofErr w:type="spellEnd"/>
            <w:r>
              <w:t xml:space="preserve"> de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elementos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Tabla</w:t>
            </w:r>
            <w:proofErr w:type="spellEnd"/>
            <w:r>
              <w:t xml:space="preserve"> </w:t>
            </w:r>
            <w:proofErr w:type="spellStart"/>
            <w:r>
              <w:t>Periódica</w:t>
            </w:r>
            <w:proofErr w:type="spellEnd"/>
            <w:r>
              <w:t xml:space="preserve"> y </w:t>
            </w:r>
            <w:proofErr w:type="spellStart"/>
            <w:r>
              <w:t>reconocer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relevantes</w:t>
            </w:r>
            <w:proofErr w:type="spellEnd"/>
            <w:r>
              <w:t xml:space="preserve"> a </w:t>
            </w:r>
            <w:proofErr w:type="spellStart"/>
            <w:r>
              <w:t>partir</w:t>
            </w:r>
            <w:proofErr w:type="spellEnd"/>
            <w:r>
              <w:t xml:space="preserve"> de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proofErr w:type="spellStart"/>
            <w:r>
              <w:t>símbolos</w:t>
            </w:r>
            <w:proofErr w:type="spellEnd"/>
            <w:r>
              <w:t xml:space="preserve">. CCL, CMCT. </w:t>
            </w:r>
          </w:p>
          <w:p w:rsidR="00303A11" w:rsidRDefault="00303A11" w:rsidP="00303A11">
            <w:pPr>
              <w:snapToGrid w:val="0"/>
              <w:spacing w:before="57" w:line="288" w:lineRule="auto"/>
            </w:pPr>
            <w:r>
              <w:t xml:space="preserve">4. </w:t>
            </w:r>
            <w:proofErr w:type="spellStart"/>
            <w:r>
              <w:t>Conocer</w:t>
            </w:r>
            <w:proofErr w:type="spellEnd"/>
            <w:r>
              <w:t xml:space="preserve"> </w:t>
            </w:r>
            <w:proofErr w:type="spellStart"/>
            <w:r>
              <w:t>cómo</w:t>
            </w:r>
            <w:proofErr w:type="spellEnd"/>
            <w:r>
              <w:t xml:space="preserve"> se </w:t>
            </w:r>
            <w:proofErr w:type="spellStart"/>
            <w:r>
              <w:t>unen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átomos</w:t>
            </w:r>
            <w:proofErr w:type="spellEnd"/>
            <w:r>
              <w:t xml:space="preserve"> para </w:t>
            </w:r>
            <w:proofErr w:type="spellStart"/>
            <w:r>
              <w:t>formar</w:t>
            </w:r>
            <w:proofErr w:type="spellEnd"/>
            <w:r>
              <w:t xml:space="preserve"> </w:t>
            </w:r>
            <w:proofErr w:type="spellStart"/>
            <w:r>
              <w:t>estructuras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complejas</w:t>
            </w:r>
            <w:proofErr w:type="spellEnd"/>
            <w:r>
              <w:t xml:space="preserve"> y </w:t>
            </w:r>
            <w:proofErr w:type="spellStart"/>
            <w:r>
              <w:t>explicar</w:t>
            </w:r>
            <w:proofErr w:type="spellEnd"/>
            <w:r>
              <w:t xml:space="preserve"> las </w:t>
            </w:r>
            <w:proofErr w:type="spellStart"/>
            <w:r>
              <w:t>propiedades</w:t>
            </w:r>
            <w:proofErr w:type="spellEnd"/>
            <w:r>
              <w:t xml:space="preserve"> de las </w:t>
            </w:r>
            <w:proofErr w:type="spellStart"/>
            <w:r>
              <w:t>agrupaciones</w:t>
            </w:r>
            <w:proofErr w:type="spellEnd"/>
            <w:r>
              <w:t xml:space="preserve"> </w:t>
            </w:r>
            <w:proofErr w:type="spellStart"/>
            <w:r>
              <w:t>resultantes</w:t>
            </w:r>
            <w:proofErr w:type="spellEnd"/>
            <w:r>
              <w:t xml:space="preserve">. CCL, CMCT, CAA. </w:t>
            </w:r>
          </w:p>
          <w:p w:rsidR="00303A11" w:rsidRDefault="00303A11" w:rsidP="00303A11">
            <w:pPr>
              <w:snapToGrid w:val="0"/>
              <w:spacing w:before="57" w:line="288" w:lineRule="auto"/>
            </w:pPr>
            <w:r>
              <w:t xml:space="preserve">5. </w:t>
            </w:r>
            <w:proofErr w:type="spellStart"/>
            <w:r>
              <w:t>Diferenciar</w:t>
            </w:r>
            <w:proofErr w:type="spellEnd"/>
            <w:r>
              <w:t xml:space="preserve"> entre </w:t>
            </w:r>
            <w:proofErr w:type="spellStart"/>
            <w:r>
              <w:t>átomos</w:t>
            </w:r>
            <w:proofErr w:type="spellEnd"/>
            <w:r>
              <w:t xml:space="preserve"> y </w:t>
            </w:r>
            <w:proofErr w:type="spellStart"/>
            <w:r>
              <w:t>moléculas</w:t>
            </w:r>
            <w:proofErr w:type="spellEnd"/>
            <w:r>
              <w:t xml:space="preserve">, y entre </w:t>
            </w:r>
            <w:proofErr w:type="spellStart"/>
            <w:r>
              <w:t>elementos</w:t>
            </w:r>
            <w:proofErr w:type="spellEnd"/>
            <w:r>
              <w:t xml:space="preserve"> y </w:t>
            </w:r>
            <w:proofErr w:type="spellStart"/>
            <w:r>
              <w:t>compuestos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sustancias</w:t>
            </w:r>
            <w:proofErr w:type="spellEnd"/>
            <w:r>
              <w:t xml:space="preserve"> de </w:t>
            </w:r>
            <w:proofErr w:type="spellStart"/>
            <w:r>
              <w:t>uso</w:t>
            </w:r>
            <w:proofErr w:type="spellEnd"/>
            <w:r>
              <w:t xml:space="preserve"> </w:t>
            </w:r>
            <w:proofErr w:type="spellStart"/>
            <w:r>
              <w:lastRenderedPageBreak/>
              <w:t>frecuente</w:t>
            </w:r>
            <w:proofErr w:type="spellEnd"/>
            <w:r>
              <w:t xml:space="preserve"> y </w:t>
            </w:r>
            <w:proofErr w:type="spellStart"/>
            <w:r>
              <w:t>conocido</w:t>
            </w:r>
            <w:proofErr w:type="spellEnd"/>
            <w:r>
              <w:t xml:space="preserve">. CCL, CMCT, CSC. </w:t>
            </w:r>
          </w:p>
          <w:p w:rsidR="00303A11" w:rsidRDefault="00303A11" w:rsidP="00303A11">
            <w:pPr>
              <w:snapToGrid w:val="0"/>
              <w:spacing w:before="57" w:line="288" w:lineRule="auto"/>
            </w:pPr>
            <w:r>
              <w:t xml:space="preserve">6. </w:t>
            </w:r>
            <w:proofErr w:type="spellStart"/>
            <w:r>
              <w:t>Formular</w:t>
            </w:r>
            <w:proofErr w:type="spellEnd"/>
            <w:r>
              <w:t xml:space="preserve"> y </w:t>
            </w:r>
            <w:proofErr w:type="spellStart"/>
            <w:r>
              <w:t>nombrar</w:t>
            </w:r>
            <w:proofErr w:type="spellEnd"/>
            <w:r>
              <w:t xml:space="preserve"> </w:t>
            </w:r>
            <w:proofErr w:type="spellStart"/>
            <w:r>
              <w:t>compuestos</w:t>
            </w:r>
            <w:proofErr w:type="spellEnd"/>
            <w:r>
              <w:t xml:space="preserve"> </w:t>
            </w:r>
            <w:proofErr w:type="spellStart"/>
            <w:r>
              <w:t>binarios</w:t>
            </w:r>
            <w:proofErr w:type="spellEnd"/>
            <w:r>
              <w:t xml:space="preserve"> </w:t>
            </w:r>
            <w:proofErr w:type="spellStart"/>
            <w:r>
              <w:t>siguiendo</w:t>
            </w:r>
            <w:proofErr w:type="spellEnd"/>
            <w:r>
              <w:t xml:space="preserve"> las </w:t>
            </w:r>
            <w:proofErr w:type="spellStart"/>
            <w:r>
              <w:t>normas</w:t>
            </w:r>
            <w:proofErr w:type="spellEnd"/>
            <w:r>
              <w:t xml:space="preserve"> IUPAC. CCL, CMCT, CAA. </w:t>
            </w:r>
          </w:p>
          <w:p w:rsidR="004A414D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3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A11" w:rsidRDefault="00303A11" w:rsidP="00303A1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  <w:proofErr w:type="gram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lastRenderedPageBreak/>
              <w:t>1.-</w:t>
            </w:r>
            <w:proofErr w:type="gram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A</w:t>
            </w:r>
            <w:r w:rsidRPr="00B42DD1">
              <w:rPr>
                <w:rFonts w:ascii="Cambria" w:hAnsi="Cambria" w:cs="Times New Roman"/>
                <w:bCs/>
                <w:color w:val="000000"/>
                <w:lang w:eastAsia="es-ES"/>
              </w:rPr>
              <w:t>naliza</w:t>
            </w:r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r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las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aportaciones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a la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comprensión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la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materia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por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los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sucesivos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modelos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atómicos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.</w:t>
            </w:r>
          </w:p>
          <w:p w:rsidR="00303A11" w:rsidRDefault="00303A11" w:rsidP="00303A1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</w:p>
          <w:p w:rsidR="00303A11" w:rsidRDefault="00303A11" w:rsidP="00303A1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</w:p>
          <w:p w:rsidR="00303A11" w:rsidRDefault="00303A11" w:rsidP="00303A1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</w:p>
          <w:p w:rsidR="00303A11" w:rsidRDefault="00303A11" w:rsidP="00303A1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</w:p>
          <w:p w:rsidR="00303A11" w:rsidRDefault="00303A11" w:rsidP="00303A1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</w:p>
          <w:p w:rsidR="00303A11" w:rsidRDefault="00303A11" w:rsidP="00303A1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  <w:proofErr w:type="gram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2.-</w:t>
            </w:r>
            <w:proofErr w:type="gram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Asociar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la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noción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isótopo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radiactivo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a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sustancias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que se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utilizan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para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datar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la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antigüedad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una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muestra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.</w:t>
            </w:r>
          </w:p>
          <w:p w:rsidR="00303A11" w:rsidRDefault="00303A11" w:rsidP="00303A1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</w:p>
          <w:p w:rsidR="00303A11" w:rsidRDefault="00303A11" w:rsidP="00303A1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  <w:proofErr w:type="gram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3.-</w:t>
            </w:r>
            <w:proofErr w:type="gram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Relacionar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la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posición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los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elementos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en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la table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periódica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con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su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estructura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electronica .</w:t>
            </w:r>
          </w:p>
          <w:p w:rsidR="00303A11" w:rsidRDefault="00303A11" w:rsidP="00303A1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</w:p>
          <w:p w:rsidR="00303A11" w:rsidRDefault="00303A11" w:rsidP="00303A1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</w:p>
          <w:p w:rsidR="00303A11" w:rsidRDefault="00303A11" w:rsidP="00303A1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  <w:proofErr w:type="gram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4.-</w:t>
            </w:r>
            <w:proofErr w:type="gram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Reconocer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qué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tipo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enlace, junto a las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propiedades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específicas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, van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asociadas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a las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diferentes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agrupaciones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entre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átomos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.</w:t>
            </w:r>
          </w:p>
          <w:p w:rsidR="00303A11" w:rsidRDefault="00303A11" w:rsidP="00303A1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</w:p>
          <w:p w:rsidR="00303A11" w:rsidRDefault="00303A11" w:rsidP="00303A1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</w:p>
          <w:p w:rsidR="00303A11" w:rsidRDefault="00303A11" w:rsidP="00303A1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</w:p>
          <w:p w:rsidR="00303A11" w:rsidRDefault="00303A11" w:rsidP="00303A1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</w:p>
          <w:p w:rsidR="00303A11" w:rsidRDefault="00303A11" w:rsidP="00303A1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  <w:proofErr w:type="gram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5.-</w:t>
            </w:r>
            <w:proofErr w:type="gram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Manejar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con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claridad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los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términos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átomo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molécula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así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como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clarificar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los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conceptos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elemento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lastRenderedPageBreak/>
              <w:t xml:space="preserve">y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compuesto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químico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hacienda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uso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esquemas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gráficos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clarificadores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.</w:t>
            </w:r>
          </w:p>
          <w:p w:rsidR="00303A11" w:rsidRDefault="00303A11" w:rsidP="00303A1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</w:p>
          <w:p w:rsidR="00303A11" w:rsidRDefault="00303A11" w:rsidP="00303A1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</w:p>
          <w:p w:rsidR="004A414D" w:rsidRDefault="00303A11" w:rsidP="00303A11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6.-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Uso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apropiado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las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normas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que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rigen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la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nomenclatura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formulación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compuestos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inorgánicos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binarios</w:t>
            </w:r>
            <w:proofErr w:type="spellEnd"/>
          </w:p>
        </w:tc>
        <w:tc>
          <w:tcPr>
            <w:tcW w:w="3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A11" w:rsidRPr="00EC433F" w:rsidRDefault="00303A11" w:rsidP="00303A11">
            <w:pPr>
              <w:snapToGrid w:val="0"/>
              <w:spacing w:before="57" w:line="288" w:lineRule="auto"/>
              <w:rPr>
                <w:b/>
                <w:i/>
                <w:sz w:val="32"/>
                <w:szCs w:val="32"/>
              </w:rPr>
            </w:pPr>
            <w:r w:rsidRPr="00EC433F">
              <w:rPr>
                <w:b/>
                <w:i/>
                <w:sz w:val="28"/>
                <w:szCs w:val="28"/>
              </w:rPr>
              <w:lastRenderedPageBreak/>
              <w:t xml:space="preserve">La </w:t>
            </w:r>
            <w:proofErr w:type="spellStart"/>
            <w:r w:rsidRPr="00EC433F">
              <w:rPr>
                <w:b/>
                <w:i/>
                <w:sz w:val="28"/>
                <w:szCs w:val="28"/>
              </w:rPr>
              <w:t>materia</w:t>
            </w:r>
            <w:proofErr w:type="spellEnd"/>
            <w:r w:rsidRPr="00EC433F">
              <w:rPr>
                <w:b/>
                <w:i/>
                <w:sz w:val="32"/>
                <w:szCs w:val="32"/>
              </w:rPr>
              <w:t xml:space="preserve">. </w:t>
            </w:r>
          </w:p>
          <w:p w:rsidR="00303A11" w:rsidRDefault="00303A11" w:rsidP="00303A11">
            <w:pPr>
              <w:snapToGrid w:val="0"/>
              <w:spacing w:before="57" w:line="288" w:lineRule="auto"/>
            </w:pPr>
            <w:proofErr w:type="spellStart"/>
            <w:r>
              <w:t>Estructura</w:t>
            </w:r>
            <w:proofErr w:type="spellEnd"/>
            <w:r>
              <w:t xml:space="preserve"> </w:t>
            </w:r>
            <w:proofErr w:type="spellStart"/>
            <w:r>
              <w:t>atómica</w:t>
            </w:r>
            <w:proofErr w:type="spellEnd"/>
            <w:r>
              <w:t xml:space="preserve">. </w:t>
            </w:r>
            <w:proofErr w:type="spellStart"/>
            <w:r>
              <w:t>Isótopos</w:t>
            </w:r>
            <w:proofErr w:type="spellEnd"/>
            <w:r>
              <w:t xml:space="preserve">. </w:t>
            </w:r>
            <w:proofErr w:type="spellStart"/>
            <w:r>
              <w:t>Modelos</w:t>
            </w:r>
            <w:proofErr w:type="spellEnd"/>
            <w:r>
              <w:t xml:space="preserve"> </w:t>
            </w:r>
            <w:proofErr w:type="spellStart"/>
            <w:r>
              <w:t>atómicos</w:t>
            </w:r>
            <w:proofErr w:type="spellEnd"/>
            <w:r>
              <w:t xml:space="preserve">. El Sistema </w:t>
            </w:r>
            <w:proofErr w:type="spellStart"/>
            <w:r>
              <w:t>Periódico</w:t>
            </w:r>
            <w:proofErr w:type="spellEnd"/>
            <w:r>
              <w:t xml:space="preserve"> de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elementos</w:t>
            </w:r>
            <w:proofErr w:type="spellEnd"/>
            <w:r>
              <w:t xml:space="preserve">. </w:t>
            </w:r>
            <w:proofErr w:type="spellStart"/>
            <w:r>
              <w:t>Uniones</w:t>
            </w:r>
            <w:proofErr w:type="spellEnd"/>
            <w:r>
              <w:t xml:space="preserve"> entre </w:t>
            </w:r>
            <w:proofErr w:type="spellStart"/>
            <w:r>
              <w:t>átomos</w:t>
            </w:r>
            <w:proofErr w:type="spellEnd"/>
            <w:r>
              <w:t xml:space="preserve">: </w:t>
            </w:r>
            <w:proofErr w:type="spellStart"/>
            <w:r>
              <w:t>moléculas</w:t>
            </w:r>
            <w:proofErr w:type="spellEnd"/>
            <w:r>
              <w:t xml:space="preserve"> y </w:t>
            </w:r>
            <w:proofErr w:type="spellStart"/>
            <w:r>
              <w:t>cristales</w:t>
            </w:r>
            <w:proofErr w:type="spellEnd"/>
            <w:r>
              <w:t xml:space="preserve">. </w:t>
            </w:r>
            <w:proofErr w:type="spellStart"/>
            <w:r>
              <w:t>Masas</w:t>
            </w:r>
            <w:proofErr w:type="spellEnd"/>
            <w:r>
              <w:t xml:space="preserve"> </w:t>
            </w:r>
            <w:proofErr w:type="spellStart"/>
            <w:r>
              <w:t>atómicas</w:t>
            </w:r>
            <w:proofErr w:type="spellEnd"/>
            <w:r>
              <w:t xml:space="preserve"> y </w:t>
            </w:r>
            <w:proofErr w:type="spellStart"/>
            <w:r>
              <w:t>moleculares</w:t>
            </w:r>
            <w:proofErr w:type="spellEnd"/>
            <w:r>
              <w:t xml:space="preserve">. </w:t>
            </w:r>
            <w:proofErr w:type="spellStart"/>
            <w:r>
              <w:t>Elementos</w:t>
            </w:r>
            <w:proofErr w:type="spellEnd"/>
            <w:r>
              <w:t xml:space="preserve"> y </w:t>
            </w:r>
            <w:proofErr w:type="spellStart"/>
            <w:r>
              <w:t>compuestos</w:t>
            </w:r>
            <w:proofErr w:type="spellEnd"/>
            <w:r>
              <w:t xml:space="preserve"> de especial </w:t>
            </w:r>
            <w:proofErr w:type="spellStart"/>
            <w:r>
              <w:t>interés</w:t>
            </w:r>
            <w:proofErr w:type="spellEnd"/>
            <w:r>
              <w:t xml:space="preserve"> con </w:t>
            </w:r>
            <w:proofErr w:type="spellStart"/>
            <w:r>
              <w:t>aplicaciones</w:t>
            </w:r>
            <w:proofErr w:type="spellEnd"/>
            <w:r>
              <w:t xml:space="preserve"> </w:t>
            </w:r>
            <w:proofErr w:type="spellStart"/>
            <w:r>
              <w:t>industriales</w:t>
            </w:r>
            <w:proofErr w:type="spellEnd"/>
            <w:r>
              <w:t xml:space="preserve">, </w:t>
            </w:r>
            <w:proofErr w:type="spellStart"/>
            <w:r>
              <w:t>tecnológicas</w:t>
            </w:r>
            <w:proofErr w:type="spellEnd"/>
            <w:r>
              <w:t xml:space="preserve"> y </w:t>
            </w:r>
            <w:proofErr w:type="spellStart"/>
            <w:r>
              <w:t>biomédicas</w:t>
            </w:r>
            <w:proofErr w:type="spellEnd"/>
            <w:r>
              <w:t xml:space="preserve">. </w:t>
            </w:r>
            <w:proofErr w:type="spellStart"/>
            <w:r>
              <w:t>Formulación</w:t>
            </w:r>
            <w:proofErr w:type="spellEnd"/>
            <w:r>
              <w:t xml:space="preserve"> y </w:t>
            </w:r>
            <w:proofErr w:type="spellStart"/>
            <w:r>
              <w:t>nomenclatura</w:t>
            </w:r>
            <w:proofErr w:type="spellEnd"/>
            <w:r>
              <w:t xml:space="preserve"> de </w:t>
            </w:r>
            <w:proofErr w:type="spellStart"/>
            <w:r>
              <w:t>compuestos</w:t>
            </w:r>
            <w:proofErr w:type="spellEnd"/>
            <w:r>
              <w:t xml:space="preserve"> </w:t>
            </w:r>
            <w:proofErr w:type="spellStart"/>
            <w:r>
              <w:t>binarios</w:t>
            </w:r>
            <w:proofErr w:type="spellEnd"/>
            <w:r>
              <w:t xml:space="preserve"> </w:t>
            </w:r>
            <w:proofErr w:type="spellStart"/>
            <w:r>
              <w:t>siguiendo</w:t>
            </w:r>
            <w:proofErr w:type="spellEnd"/>
            <w:r>
              <w:t xml:space="preserve"> las </w:t>
            </w:r>
            <w:proofErr w:type="spellStart"/>
            <w:r>
              <w:t>normas</w:t>
            </w:r>
            <w:proofErr w:type="spellEnd"/>
            <w:r>
              <w:t xml:space="preserve"> IUPAC. </w:t>
            </w:r>
          </w:p>
          <w:p w:rsidR="004A414D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3A11" w:rsidRPr="00303A11" w:rsidRDefault="00303A11" w:rsidP="00303A1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  <w:proofErr w:type="gram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1.-</w:t>
            </w:r>
            <w:proofErr w:type="gram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Comprender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utilizar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las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estrategias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conceptos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básicos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la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Física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Química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para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interpretar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los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fenómenos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naturales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así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como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para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analizar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valorar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 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sus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repercusiones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en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el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desarrollo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científico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tecnológico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.</w:t>
            </w:r>
          </w:p>
          <w:p w:rsidR="00303A11" w:rsidRPr="00303A11" w:rsidRDefault="00303A11" w:rsidP="00303A1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</w:p>
          <w:p w:rsidR="00303A11" w:rsidRPr="00303A11" w:rsidRDefault="00303A11" w:rsidP="00303A1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2.-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Aplicar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,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en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la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resolución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problemas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,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estrategias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coherentes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con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los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procedimientos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las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ciencias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, tales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como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el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análisis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los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problemas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planteados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, la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formulación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hipótesis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, la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elaboración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estrategias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resolución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de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diseño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experimentales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, el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análisis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resultados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, la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consideración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de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aplicaciones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repercusiones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del studio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realizado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.</w:t>
            </w:r>
          </w:p>
          <w:p w:rsidR="00303A11" w:rsidRPr="00303A11" w:rsidRDefault="00303A11" w:rsidP="00303A1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3. –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Comprender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expresar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mensajes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con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contenido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científico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utilizando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el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lenguaje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escrito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oral con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propiedad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, interpreter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diagramas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,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gráficas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tablas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expresiones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matemáticas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elementales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así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como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comunicar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argumentar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proofErr w:type="gram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explicaciones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en</w:t>
            </w:r>
            <w:proofErr w:type="spellEnd"/>
            <w:proofErr w:type="gram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el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ámbito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la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ciencia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.</w:t>
            </w:r>
          </w:p>
          <w:p w:rsidR="00303A11" w:rsidRPr="00303A11" w:rsidRDefault="00303A11" w:rsidP="00303A1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  <w:proofErr w:type="gram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lastRenderedPageBreak/>
              <w:t>4.-</w:t>
            </w:r>
            <w:proofErr w:type="gram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Obtener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información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sobre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temas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científicos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,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utilizando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distintas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fuentes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, y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emplearla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,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valorando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su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contenido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para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fundamentar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orientar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trabajos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sobre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temas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científicos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.</w:t>
            </w:r>
          </w:p>
          <w:p w:rsidR="00303A11" w:rsidRPr="00303A11" w:rsidRDefault="00303A11" w:rsidP="00303A1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  <w:proofErr w:type="gram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5.-</w:t>
            </w:r>
            <w:proofErr w:type="gram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Desarrollar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actitudes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críticas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fundamentadas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en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el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conocimiento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para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analizar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,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individualemnte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o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en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grupo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,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cuestiones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relacionadas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con la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ciencia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la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tecnología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.</w:t>
            </w:r>
          </w:p>
          <w:p w:rsidR="00303A11" w:rsidRPr="00303A11" w:rsidRDefault="00303A11" w:rsidP="00303A1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  <w:proofErr w:type="gram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6.-</w:t>
            </w:r>
            <w:proofErr w:type="gram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Desarrollar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actitudes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hábitos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saludables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que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permitan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hacer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frente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a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problemas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la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sciedad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actual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en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aspectos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relacionados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con el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uso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consume de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nuevos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productos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.</w:t>
            </w:r>
          </w:p>
          <w:p w:rsidR="00303A11" w:rsidRPr="00303A11" w:rsidRDefault="00303A11" w:rsidP="00303A11">
            <w:pPr>
              <w:spacing w:after="0"/>
              <w:contextualSpacing/>
              <w:jc w:val="both"/>
              <w:rPr>
                <w:rFonts w:ascii="Cambria" w:hAnsi="Cambria" w:cs="Times New Roman"/>
                <w:bCs/>
                <w:color w:val="000000"/>
                <w:lang w:eastAsia="es-ES"/>
              </w:rPr>
            </w:pPr>
            <w:proofErr w:type="gram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7.-</w:t>
            </w:r>
            <w:proofErr w:type="gram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Comprender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la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importncia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que el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conocimiento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en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ciencias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tiene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para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poder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participar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en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la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toma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decisions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tanto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en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problemas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globales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como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locales .</w:t>
            </w:r>
          </w:p>
          <w:p w:rsidR="004A414D" w:rsidRDefault="00303A11" w:rsidP="00303A11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8.-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Conocer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valorar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la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interacciones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la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ciencia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la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tecnología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ocn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la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sociedad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el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medio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ambinte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para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así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avanzar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hacia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un </w:t>
            </w:r>
            <w:proofErr w:type="spellStart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>futuro</w:t>
            </w:r>
            <w:proofErr w:type="spellEnd"/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sostenible</w:t>
            </w:r>
            <w:r w:rsidRPr="0034461E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9- </w:t>
            </w:r>
            <w:proofErr w:type="spellStart"/>
            <w:r w:rsidRPr="0034461E">
              <w:rPr>
                <w:rFonts w:ascii="Cambria" w:hAnsi="Cambria" w:cs="Times New Roman"/>
                <w:bCs/>
                <w:color w:val="000000"/>
                <w:lang w:eastAsia="es-ES"/>
              </w:rPr>
              <w:t>Reconocer</w:t>
            </w:r>
            <w:proofErr w:type="spellEnd"/>
            <w:r w:rsidRPr="0034461E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el </w:t>
            </w:r>
            <w:proofErr w:type="spellStart"/>
            <w:r w:rsidRPr="0034461E">
              <w:rPr>
                <w:rFonts w:ascii="Cambria" w:hAnsi="Cambria" w:cs="Times New Roman"/>
                <w:bCs/>
                <w:color w:val="000000"/>
                <w:lang w:eastAsia="es-ES"/>
              </w:rPr>
              <w:t>carácter</w:t>
            </w:r>
            <w:proofErr w:type="spellEnd"/>
            <w:r w:rsidRPr="0034461E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34461E">
              <w:rPr>
                <w:rFonts w:ascii="Cambria" w:hAnsi="Cambria" w:cs="Times New Roman"/>
                <w:bCs/>
                <w:color w:val="000000"/>
                <w:lang w:eastAsia="es-ES"/>
              </w:rPr>
              <w:t>evolutivo</w:t>
            </w:r>
            <w:proofErr w:type="spellEnd"/>
            <w:r w:rsidRPr="0034461E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</w:t>
            </w:r>
            <w:proofErr w:type="spellStart"/>
            <w:r w:rsidRPr="0034461E">
              <w:rPr>
                <w:rFonts w:ascii="Cambria" w:hAnsi="Cambria" w:cs="Times New Roman"/>
                <w:bCs/>
                <w:color w:val="000000"/>
                <w:lang w:eastAsia="es-ES"/>
              </w:rPr>
              <w:t>creat</w:t>
            </w:r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ivo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de la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F</w:t>
            </w:r>
            <w:r w:rsidRPr="0034461E">
              <w:rPr>
                <w:rFonts w:ascii="Cambria" w:hAnsi="Cambria" w:cs="Times New Roman"/>
                <w:bCs/>
                <w:color w:val="000000"/>
                <w:lang w:eastAsia="es-ES"/>
              </w:rPr>
              <w:t>ísica</w:t>
            </w:r>
            <w:proofErr w:type="spellEnd"/>
            <w:r w:rsidRPr="0034461E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de</w:t>
            </w:r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la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Química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y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sus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>aportaciones</w:t>
            </w:r>
            <w:proofErr w:type="spellEnd"/>
            <w:r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</w:t>
            </w:r>
            <w:r w:rsidRPr="0034461E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lo largo de la </w:t>
            </w:r>
            <w:proofErr w:type="spellStart"/>
            <w:r w:rsidRPr="0034461E">
              <w:rPr>
                <w:rFonts w:ascii="Cambria" w:hAnsi="Cambria" w:cs="Times New Roman"/>
                <w:bCs/>
                <w:color w:val="000000"/>
                <w:lang w:eastAsia="es-ES"/>
              </w:rPr>
              <w:t>historia</w:t>
            </w:r>
            <w:proofErr w:type="spellEnd"/>
            <w:r w:rsidRPr="0034461E">
              <w:rPr>
                <w:rFonts w:ascii="Cambria" w:hAnsi="Cambria" w:cs="Times New Roman"/>
                <w:bCs/>
                <w:color w:val="000000"/>
                <w:lang w:eastAsia="es-ES"/>
              </w:rPr>
              <w:t>.</w:t>
            </w:r>
            <w:r w:rsidRPr="00303A11">
              <w:rPr>
                <w:rFonts w:ascii="Cambria" w:hAnsi="Cambria" w:cs="Times New Roman"/>
                <w:bCs/>
                <w:color w:val="000000"/>
                <w:lang w:eastAsia="es-ES"/>
              </w:rPr>
              <w:t xml:space="preserve"> .</w:t>
            </w:r>
          </w:p>
        </w:tc>
      </w:tr>
      <w:tr w:rsidR="004A414D">
        <w:trPr>
          <w:trHeight w:val="420"/>
        </w:trPr>
        <w:tc>
          <w:tcPr>
            <w:tcW w:w="3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3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4A414D">
        <w:trPr>
          <w:trHeight w:val="420"/>
        </w:trPr>
        <w:tc>
          <w:tcPr>
            <w:tcW w:w="3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3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441C46" w:rsidRDefault="00441C46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441C46" w:rsidRDefault="00441C46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441C46" w:rsidRDefault="00441C46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4A414D">
        <w:trPr>
          <w:trHeight w:val="200"/>
        </w:trPr>
        <w:tc>
          <w:tcPr>
            <w:tcW w:w="15397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57" w:type="dxa"/>
            </w:tcMar>
          </w:tcPr>
          <w:p w:rsidR="004A414D" w:rsidRDefault="004D4DFF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lastRenderedPageBreak/>
              <w:t>TRANSPOSICIÓN DIDÁCTICA</w:t>
            </w:r>
          </w:p>
        </w:tc>
      </w:tr>
      <w:tr w:rsidR="004A414D">
        <w:tc>
          <w:tcPr>
            <w:tcW w:w="1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4A414D" w:rsidRDefault="004D4DFF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TAREA 1 – TÍTULO:</w:t>
            </w:r>
          </w:p>
        </w:tc>
        <w:tc>
          <w:tcPr>
            <w:tcW w:w="37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A414D" w:rsidRDefault="004A414D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  <w:p w:rsidR="004A414D" w:rsidRPr="006608EE" w:rsidRDefault="006608EE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lang w:eastAsia="es-ES"/>
              </w:rPr>
            </w:pPr>
            <w:r w:rsidRPr="006608EE">
              <w:rPr>
                <w:rFonts w:ascii="Calibri" w:hAnsi="Calibri" w:cs="Times New Roman"/>
                <w:b/>
                <w:color w:val="000000"/>
                <w:lang w:eastAsia="es-ES"/>
              </w:rPr>
              <w:t xml:space="preserve">La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lang w:eastAsia="es-ES"/>
              </w:rPr>
              <w:t>q</w:t>
            </w:r>
            <w:r w:rsidRPr="006608EE">
              <w:rPr>
                <w:rFonts w:ascii="Calibri" w:hAnsi="Calibri" w:cs="Times New Roman"/>
                <w:b/>
                <w:color w:val="000000"/>
                <w:lang w:eastAsia="es-ES"/>
              </w:rPr>
              <w:t>uími</w:t>
            </w:r>
            <w:r>
              <w:rPr>
                <w:rFonts w:ascii="Calibri" w:hAnsi="Calibri" w:cs="Times New Roman"/>
                <w:b/>
                <w:color w:val="000000"/>
                <w:lang w:eastAsia="es-ES"/>
              </w:rPr>
              <w:t>c</w:t>
            </w:r>
            <w:r w:rsidRPr="006608EE">
              <w:rPr>
                <w:rFonts w:ascii="Calibri" w:hAnsi="Calibri" w:cs="Times New Roman"/>
                <w:b/>
                <w:color w:val="000000"/>
                <w:lang w:eastAsia="es-ES"/>
              </w:rPr>
              <w:t>a</w:t>
            </w:r>
            <w:proofErr w:type="spellEnd"/>
            <w:r w:rsidRPr="006608EE">
              <w:rPr>
                <w:rFonts w:ascii="Calibri" w:hAnsi="Calibri" w:cs="Times New Roman"/>
                <w:b/>
                <w:color w:val="000000"/>
                <w:lang w:eastAsia="es-ES"/>
              </w:rPr>
              <w:t xml:space="preserve"> de </w:t>
            </w:r>
            <w:proofErr w:type="spellStart"/>
            <w:r w:rsidRPr="006608EE">
              <w:rPr>
                <w:rFonts w:ascii="Calibri" w:hAnsi="Calibri" w:cs="Times New Roman"/>
                <w:b/>
                <w:color w:val="000000"/>
                <w:lang w:eastAsia="es-ES"/>
              </w:rPr>
              <w:t>nustro</w:t>
            </w:r>
            <w:proofErr w:type="spellEnd"/>
            <w:r w:rsidRPr="006608EE">
              <w:rPr>
                <w:rFonts w:ascii="Calibri" w:hAnsi="Calibri" w:cs="Times New Roman"/>
                <w:b/>
                <w:color w:val="000000"/>
                <w:lang w:eastAsia="es-ES"/>
              </w:rPr>
              <w:t xml:space="preserve"> </w:t>
            </w:r>
            <w:proofErr w:type="spellStart"/>
            <w:r w:rsidRPr="006608EE">
              <w:rPr>
                <w:rFonts w:ascii="Calibri" w:hAnsi="Calibri" w:cs="Times New Roman"/>
                <w:b/>
                <w:color w:val="000000"/>
                <w:lang w:eastAsia="es-ES"/>
              </w:rPr>
              <w:t>entorno</w:t>
            </w:r>
            <w:proofErr w:type="spellEnd"/>
          </w:p>
        </w:tc>
        <w:tc>
          <w:tcPr>
            <w:tcW w:w="2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4A414D" w:rsidRDefault="004D4DFF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DESCRIPCIÓN:</w:t>
            </w:r>
          </w:p>
        </w:tc>
        <w:tc>
          <w:tcPr>
            <w:tcW w:w="76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A414D" w:rsidRPr="006608EE" w:rsidRDefault="006608EE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lang w:eastAsia="es-ES"/>
              </w:rPr>
            </w:pPr>
            <w:proofErr w:type="spellStart"/>
            <w:r w:rsidRPr="006608EE">
              <w:rPr>
                <w:rFonts w:ascii="Calibri" w:hAnsi="Calibri" w:cs="Times New Roman"/>
                <w:b/>
                <w:color w:val="000000"/>
                <w:lang w:eastAsia="es-ES"/>
              </w:rPr>
              <w:t>Construcción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lang w:eastAsia="es-ES"/>
              </w:rPr>
              <w:t>moléculas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lang w:eastAsia="es-ES"/>
              </w:rPr>
              <w:t>cristales</w:t>
            </w:r>
            <w:proofErr w:type="spellEnd"/>
          </w:p>
        </w:tc>
      </w:tr>
      <w:tr w:rsidR="004A414D"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4A414D" w:rsidRDefault="004D4DFF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  <w:proofErr w:type="spellEnd"/>
          </w:p>
        </w:tc>
        <w:tc>
          <w:tcPr>
            <w:tcW w:w="2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4A414D" w:rsidRDefault="004D4DFF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  <w:proofErr w:type="spellEnd"/>
          </w:p>
        </w:tc>
        <w:tc>
          <w:tcPr>
            <w:tcW w:w="2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4A414D" w:rsidRDefault="004D4DFF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cognitivos</w:t>
            </w:r>
            <w:proofErr w:type="spellEnd"/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4A414D" w:rsidRDefault="004D4DFF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  <w:proofErr w:type="spellEnd"/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4A414D" w:rsidRDefault="004D4DFF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Temporalización</w:t>
            </w:r>
            <w:proofErr w:type="spellEnd"/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4A414D" w:rsidRDefault="004D4DFF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Recursos</w:t>
            </w:r>
            <w:proofErr w:type="spellEnd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/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Instrumentos</w:t>
            </w:r>
            <w:proofErr w:type="spellEnd"/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4A414D" w:rsidRDefault="004D4DFF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Metodologías</w:t>
            </w:r>
            <w:proofErr w:type="spellEnd"/>
          </w:p>
        </w:tc>
      </w:tr>
      <w:tr w:rsidR="004A414D">
        <w:trPr>
          <w:trHeight w:val="19"/>
        </w:trPr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Pr="006608EE" w:rsidRDefault="006608EE" w:rsidP="006608EE">
            <w:pPr>
              <w:spacing w:after="0"/>
              <w:contextualSpacing/>
              <w:jc w:val="both"/>
              <w:rPr>
                <w:rFonts w:ascii="Calibri" w:hAnsi="Calibri" w:cs="Times New Roman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lang w:eastAsia="es-ES"/>
              </w:rPr>
              <w:t>Utilizar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lang w:eastAsia="es-ES"/>
              </w:rPr>
              <w:t>bolitas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lang w:eastAsia="es-ES"/>
              </w:rPr>
              <w:t>diferentes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lang w:eastAsia="es-ES"/>
              </w:rPr>
              <w:t>colores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 xml:space="preserve"> para </w:t>
            </w:r>
            <w:proofErr w:type="spellStart"/>
            <w:r>
              <w:rPr>
                <w:rFonts w:ascii="Calibri" w:hAnsi="Calibri" w:cs="Times New Roman"/>
                <w:lang w:eastAsia="es-ES"/>
              </w:rPr>
              <w:t>construir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lang w:eastAsia="es-ES"/>
              </w:rPr>
              <w:t>moléculas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 xml:space="preserve">.  </w:t>
            </w:r>
            <w:proofErr w:type="spellStart"/>
            <w:r>
              <w:rPr>
                <w:rFonts w:ascii="Calibri" w:hAnsi="Calibri" w:cs="Times New Roman"/>
                <w:lang w:eastAsia="es-ES"/>
              </w:rPr>
              <w:t>Búsqueda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 xml:space="preserve"> de las </w:t>
            </w:r>
            <w:proofErr w:type="spellStart"/>
            <w:r>
              <w:rPr>
                <w:rFonts w:ascii="Calibri" w:hAnsi="Calibri" w:cs="Times New Roman"/>
                <w:lang w:eastAsia="es-ES"/>
              </w:rPr>
              <w:t>diversas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lang w:eastAsia="es-ES"/>
              </w:rPr>
              <w:t>aplicaciones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lang w:eastAsia="es-ES"/>
              </w:rPr>
              <w:t>prácticas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 xml:space="preserve"> que </w:t>
            </w:r>
            <w:proofErr w:type="spellStart"/>
            <w:r>
              <w:rPr>
                <w:rFonts w:ascii="Calibri" w:hAnsi="Calibri" w:cs="Times New Roman"/>
                <w:lang w:eastAsia="es-ES"/>
              </w:rPr>
              <w:t>poseen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>.</w:t>
            </w:r>
          </w:p>
          <w:p w:rsidR="004A414D" w:rsidRPr="006608EE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Default="006608EE">
            <w:pPr>
              <w:spacing w:after="0"/>
              <w:contextualSpacing/>
              <w:jc w:val="both"/>
              <w:rPr>
                <w:rFonts w:ascii="Calibri" w:hAnsi="Calibri" w:cs="Times New Roman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lang w:eastAsia="es-ES"/>
              </w:rPr>
              <w:t>Localizar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 xml:space="preserve"> la </w:t>
            </w:r>
            <w:proofErr w:type="spellStart"/>
            <w:r>
              <w:rPr>
                <w:rFonts w:ascii="Calibri" w:hAnsi="Calibri" w:cs="Times New Roman"/>
                <w:lang w:eastAsia="es-ES"/>
              </w:rPr>
              <w:t>posición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lang w:eastAsia="es-ES"/>
              </w:rPr>
              <w:t>en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 xml:space="preserve"> la </w:t>
            </w:r>
            <w:proofErr w:type="spellStart"/>
            <w:r>
              <w:rPr>
                <w:rFonts w:ascii="Calibri" w:hAnsi="Calibri" w:cs="Times New Roman"/>
                <w:lang w:eastAsia="es-ES"/>
              </w:rPr>
              <w:t>tabla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lang w:eastAsia="es-ES"/>
              </w:rPr>
              <w:t>periódica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lang w:eastAsia="es-ES"/>
              </w:rPr>
              <w:t>algunos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lang w:eastAsia="es-ES"/>
              </w:rPr>
              <w:t>lementos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Times New Roman"/>
                <w:lang w:eastAsia="es-ES"/>
              </w:rPr>
              <w:t>químicos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 xml:space="preserve"> .</w:t>
            </w:r>
            <w:proofErr w:type="gramEnd"/>
          </w:p>
          <w:p w:rsidR="006608EE" w:rsidRPr="006608EE" w:rsidRDefault="006608EE">
            <w:pPr>
              <w:spacing w:after="0"/>
              <w:contextualSpacing/>
              <w:jc w:val="both"/>
              <w:rPr>
                <w:rFonts w:ascii="Calibri" w:hAnsi="Calibri" w:cs="Times New Roman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lang w:eastAsia="es-ES"/>
              </w:rPr>
              <w:t>Justificar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 xml:space="preserve"> las </w:t>
            </w:r>
            <w:proofErr w:type="spellStart"/>
            <w:r>
              <w:rPr>
                <w:rFonts w:ascii="Calibri" w:hAnsi="Calibri" w:cs="Times New Roman"/>
                <w:lang w:eastAsia="es-ES"/>
              </w:rPr>
              <w:t>diferentes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lang w:eastAsia="es-ES"/>
              </w:rPr>
              <w:t>agrupaciones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lang w:eastAsia="es-ES"/>
              </w:rPr>
              <w:t>atómicas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 xml:space="preserve"> que </w:t>
            </w:r>
            <w:proofErr w:type="spellStart"/>
            <w:r>
              <w:rPr>
                <w:rFonts w:ascii="Calibri" w:hAnsi="Calibri" w:cs="Times New Roman"/>
                <w:lang w:eastAsia="es-ES"/>
              </w:rPr>
              <w:t>pueden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Times New Roman"/>
                <w:lang w:eastAsia="es-ES"/>
              </w:rPr>
              <w:t>establecerse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 xml:space="preserve"> .</w:t>
            </w:r>
            <w:proofErr w:type="gramEnd"/>
          </w:p>
        </w:tc>
        <w:tc>
          <w:tcPr>
            <w:tcW w:w="2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Pr="006608EE" w:rsidRDefault="006608EE">
            <w:pPr>
              <w:spacing w:after="0"/>
              <w:contextualSpacing/>
              <w:jc w:val="both"/>
              <w:rPr>
                <w:rFonts w:ascii="Calibri" w:hAnsi="Calibri" w:cs="Times New Roman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lang w:eastAsia="es-ES"/>
              </w:rPr>
              <w:t>Reflexivo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 xml:space="preserve"> – </w:t>
            </w:r>
            <w:proofErr w:type="spellStart"/>
            <w:r>
              <w:rPr>
                <w:rFonts w:ascii="Calibri" w:hAnsi="Calibri" w:cs="Times New Roman"/>
                <w:lang w:eastAsia="es-ES"/>
              </w:rPr>
              <w:t>creativo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 xml:space="preserve"> – </w:t>
            </w:r>
            <w:proofErr w:type="spellStart"/>
            <w:r>
              <w:rPr>
                <w:rFonts w:ascii="Calibri" w:hAnsi="Calibri" w:cs="Times New Roman"/>
                <w:lang w:eastAsia="es-ES"/>
              </w:rPr>
              <w:t>práctico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>.</w:t>
            </w: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Pr="006608EE" w:rsidRDefault="006608EE">
            <w:pPr>
              <w:spacing w:after="0"/>
              <w:contextualSpacing/>
              <w:jc w:val="both"/>
              <w:rPr>
                <w:rFonts w:ascii="Calibri" w:hAnsi="Calibri" w:cs="Times New Roman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lang w:eastAsia="es-ES"/>
              </w:rPr>
              <w:t>Comunitario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 xml:space="preserve"> -escolar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Pr="006608EE" w:rsidRDefault="00CD58AF">
            <w:pPr>
              <w:spacing w:after="0"/>
              <w:contextualSpacing/>
              <w:jc w:val="both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5</w:t>
            </w:r>
            <w:r w:rsidR="006608EE" w:rsidRPr="006608EE">
              <w:rPr>
                <w:rFonts w:ascii="Calibri" w:hAnsi="Calibri" w:cs="Times New Roman"/>
                <w:lang w:eastAsia="es-ES"/>
              </w:rPr>
              <w:t xml:space="preserve"> </w:t>
            </w:r>
            <w:proofErr w:type="spellStart"/>
            <w:r w:rsidR="006608EE" w:rsidRPr="006608EE">
              <w:rPr>
                <w:rFonts w:ascii="Calibri" w:hAnsi="Calibri" w:cs="Times New Roman"/>
                <w:lang w:eastAsia="es-ES"/>
              </w:rPr>
              <w:t>sesiones</w:t>
            </w:r>
            <w:proofErr w:type="spellEnd"/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Pr="006608EE" w:rsidRDefault="006608EE">
            <w:pPr>
              <w:spacing w:after="0"/>
              <w:contextualSpacing/>
              <w:jc w:val="both"/>
              <w:rPr>
                <w:rFonts w:ascii="Calibri" w:hAnsi="Calibri" w:cs="Times New Roman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lang w:eastAsia="es-ES"/>
              </w:rPr>
              <w:t>Libro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lang w:eastAsia="es-ES"/>
              </w:rPr>
              <w:t>texto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lang w:eastAsia="es-ES"/>
              </w:rPr>
              <w:t>caja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 xml:space="preserve"> con </w:t>
            </w:r>
            <w:proofErr w:type="spellStart"/>
            <w:r>
              <w:rPr>
                <w:rFonts w:ascii="Calibri" w:hAnsi="Calibri" w:cs="Times New Roman"/>
                <w:lang w:eastAsia="es-ES"/>
              </w:rPr>
              <w:t>bolitas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lang w:eastAsia="es-ES"/>
              </w:rPr>
              <w:t>simuladoras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lang w:eastAsia="es-ES"/>
              </w:rPr>
              <w:t>diferentes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lang w:eastAsia="es-ES"/>
              </w:rPr>
              <w:t>elementos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Times New Roman"/>
                <w:lang w:eastAsia="es-ES"/>
              </w:rPr>
              <w:t>químicos</w:t>
            </w:r>
            <w:proofErr w:type="spellEnd"/>
            <w:r>
              <w:rPr>
                <w:rFonts w:ascii="Calibri" w:hAnsi="Calibri" w:cs="Times New Roman"/>
                <w:lang w:eastAsia="es-ES"/>
              </w:rPr>
              <w:t xml:space="preserve"> .</w:t>
            </w:r>
            <w:proofErr w:type="gramEnd"/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Pr="006608EE" w:rsidRDefault="006608EE">
            <w:pPr>
              <w:spacing w:after="0"/>
              <w:contextualSpacing/>
              <w:jc w:val="both"/>
              <w:rPr>
                <w:rFonts w:ascii="Calibri" w:hAnsi="Calibri" w:cs="Times New Roman"/>
                <w:lang w:eastAsia="es-ES"/>
              </w:rPr>
            </w:pPr>
            <w:proofErr w:type="spellStart"/>
            <w:r w:rsidRPr="006608EE">
              <w:rPr>
                <w:rFonts w:ascii="Calibri" w:hAnsi="Calibri" w:cs="Times New Roman"/>
                <w:lang w:eastAsia="es-ES"/>
              </w:rPr>
              <w:t>Grupal</w:t>
            </w:r>
            <w:proofErr w:type="spellEnd"/>
            <w:r w:rsidRPr="006608EE">
              <w:rPr>
                <w:rFonts w:ascii="Calibri" w:hAnsi="Calibri" w:cs="Times New Roman"/>
                <w:lang w:eastAsia="es-ES"/>
              </w:rPr>
              <w:t xml:space="preserve">- </w:t>
            </w:r>
            <w:proofErr w:type="spellStart"/>
            <w:r w:rsidR="00441C46">
              <w:rPr>
                <w:rFonts w:ascii="Calibri" w:hAnsi="Calibri" w:cs="Times New Roman"/>
                <w:lang w:eastAsia="es-ES"/>
              </w:rPr>
              <w:t>participativa-Indagación</w:t>
            </w:r>
            <w:proofErr w:type="spellEnd"/>
            <w:r w:rsidR="00441C46">
              <w:rPr>
                <w:rFonts w:ascii="Calibri" w:hAnsi="Calibri" w:cs="Times New Roman"/>
                <w:lang w:eastAsia="es-ES"/>
              </w:rPr>
              <w:t xml:space="preserve"> </w:t>
            </w:r>
            <w:proofErr w:type="spellStart"/>
            <w:r w:rsidR="00441C46">
              <w:rPr>
                <w:rFonts w:ascii="Calibri" w:hAnsi="Calibri" w:cs="Times New Roman"/>
                <w:lang w:eastAsia="es-ES"/>
              </w:rPr>
              <w:t>C</w:t>
            </w:r>
            <w:bookmarkStart w:id="0" w:name="_GoBack"/>
            <w:bookmarkEnd w:id="0"/>
            <w:r w:rsidR="00CD58AF">
              <w:rPr>
                <w:rFonts w:ascii="Calibri" w:hAnsi="Calibri" w:cs="Times New Roman"/>
                <w:lang w:eastAsia="es-ES"/>
              </w:rPr>
              <w:t>ientífica</w:t>
            </w:r>
            <w:proofErr w:type="spellEnd"/>
            <w:r w:rsidR="00CD58AF">
              <w:rPr>
                <w:rFonts w:ascii="Calibri" w:hAnsi="Calibri" w:cs="Times New Roman"/>
                <w:lang w:eastAsia="es-ES"/>
              </w:rPr>
              <w:t>.</w:t>
            </w:r>
          </w:p>
        </w:tc>
      </w:tr>
      <w:tr w:rsidR="004A414D">
        <w:trPr>
          <w:trHeight w:val="19"/>
        </w:trPr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Pr="006608EE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lang w:eastAsia="es-ES"/>
              </w:rPr>
            </w:pPr>
          </w:p>
          <w:p w:rsidR="004A414D" w:rsidRPr="006608EE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Pr="006608EE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Pr="006608EE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Pr="006608EE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Pr="006608EE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Pr="006608EE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Pr="006608EE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lang w:eastAsia="es-ES"/>
              </w:rPr>
            </w:pPr>
          </w:p>
        </w:tc>
      </w:tr>
      <w:tr w:rsidR="004A414D">
        <w:trPr>
          <w:trHeight w:val="19"/>
        </w:trPr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Pr="006608EE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lang w:eastAsia="es-ES"/>
              </w:rPr>
            </w:pPr>
          </w:p>
          <w:p w:rsidR="004A414D" w:rsidRPr="006608EE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Pr="006608EE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Pr="006608EE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Pr="006608EE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Pr="006608EE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Pr="006608EE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Pr="006608EE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lang w:eastAsia="es-ES"/>
              </w:rPr>
            </w:pPr>
          </w:p>
        </w:tc>
      </w:tr>
      <w:tr w:rsidR="004A414D">
        <w:tc>
          <w:tcPr>
            <w:tcW w:w="1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4A414D" w:rsidRDefault="004D4DFF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TAREA 2 – TÍTULO:</w:t>
            </w:r>
          </w:p>
        </w:tc>
        <w:tc>
          <w:tcPr>
            <w:tcW w:w="37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A414D" w:rsidRDefault="004A414D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  <w:p w:rsidR="004A414D" w:rsidRDefault="004A414D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4A414D" w:rsidRDefault="004D4DFF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DESCRIPCIÓN:</w:t>
            </w:r>
          </w:p>
        </w:tc>
        <w:tc>
          <w:tcPr>
            <w:tcW w:w="76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A414D" w:rsidRDefault="004A414D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</w:tr>
      <w:tr w:rsidR="004A414D"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4A414D" w:rsidRDefault="004D4DFF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  <w:proofErr w:type="spellEnd"/>
          </w:p>
        </w:tc>
        <w:tc>
          <w:tcPr>
            <w:tcW w:w="2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4A414D" w:rsidRDefault="004D4DFF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  <w:proofErr w:type="spellEnd"/>
          </w:p>
        </w:tc>
        <w:tc>
          <w:tcPr>
            <w:tcW w:w="2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4A414D" w:rsidRDefault="004D4DFF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cognitivos</w:t>
            </w:r>
            <w:proofErr w:type="spellEnd"/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4A414D" w:rsidRDefault="004D4DFF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  <w:proofErr w:type="spellEnd"/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4A414D" w:rsidRDefault="004D4DFF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Temporalización</w:t>
            </w:r>
            <w:proofErr w:type="spellEnd"/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4A414D" w:rsidRDefault="004D4DFF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Recursos</w:t>
            </w:r>
            <w:proofErr w:type="spellEnd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/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Instrumentos</w:t>
            </w:r>
            <w:proofErr w:type="spellEnd"/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57" w:type="dxa"/>
            </w:tcMar>
            <w:vAlign w:val="center"/>
          </w:tcPr>
          <w:p w:rsidR="004A414D" w:rsidRDefault="004D4DFF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Metodologías</w:t>
            </w:r>
            <w:proofErr w:type="spellEnd"/>
          </w:p>
        </w:tc>
      </w:tr>
      <w:tr w:rsidR="004A414D">
        <w:trPr>
          <w:trHeight w:val="19"/>
        </w:trPr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4A414D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4A414D">
        <w:trPr>
          <w:trHeight w:val="19"/>
        </w:trPr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4A414D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4A414D">
        <w:trPr>
          <w:trHeight w:val="19"/>
        </w:trPr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4A414D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A414D" w:rsidRDefault="004A414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</w:tbl>
    <w:p w:rsidR="004A414D" w:rsidRDefault="004A414D">
      <w:pPr>
        <w:spacing w:after="0"/>
        <w:contextualSpacing/>
        <w:jc w:val="both"/>
      </w:pPr>
    </w:p>
    <w:sectPr w:rsidR="004A414D">
      <w:headerReference w:type="default" r:id="rId7"/>
      <w:pgSz w:w="16838" w:h="11906" w:orient="landscape"/>
      <w:pgMar w:top="766" w:right="720" w:bottom="720" w:left="720" w:header="709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E70" w:rsidRDefault="00E34E70">
      <w:pPr>
        <w:spacing w:after="0"/>
      </w:pPr>
      <w:r>
        <w:separator/>
      </w:r>
    </w:p>
  </w:endnote>
  <w:endnote w:type="continuationSeparator" w:id="0">
    <w:p w:rsidR="00E34E70" w:rsidRDefault="00E34E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E70" w:rsidRDefault="00E34E70">
      <w:pPr>
        <w:spacing w:after="0"/>
      </w:pPr>
      <w:r>
        <w:separator/>
      </w:r>
    </w:p>
  </w:footnote>
  <w:footnote w:type="continuationSeparator" w:id="0">
    <w:p w:rsidR="00E34E70" w:rsidRDefault="00E34E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14D" w:rsidRDefault="004D4DFF">
    <w:pPr>
      <w:pStyle w:val="Encabezamient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" behindDoc="1" locked="0" layoutInCell="1" allowOverlap="1" wp14:anchorId="2935D1CD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29865" cy="293370"/>
              <wp:effectExtent l="0" t="0" r="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160" cy="292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A414D" w:rsidRDefault="004D4DFF">
                          <w:pPr>
                            <w:pStyle w:val="Encabezado6"/>
                            <w:numPr>
                              <w:ilvl w:val="5"/>
                              <w:numId w:val="1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4A414D" w:rsidRDefault="004D4DFF">
                          <w:pPr>
                            <w:pStyle w:val="Contenidodelmarco"/>
                            <w:jc w:val="center"/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General de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Ordenación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Educativa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35D1CD" id="Text Box 1" o:spid="_x0000_s1026" style="position:absolute;margin-left:8in;margin-top:-4.35pt;width:214.95pt;height:23.1pt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" stroked="f">
              <v:textbox inset="0,0,0,0">
                <w:txbxContent>
                  <w:p w:rsidR="004A414D" w:rsidRDefault="004D4DFF">
                    <w:pPr>
                      <w:pStyle w:val="Encabezado6"/>
                      <w:numPr>
                        <w:ilvl w:val="5"/>
                        <w:numId w:val="1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:rsidR="004A414D" w:rsidRDefault="004D4DFF">
                    <w:pPr>
                      <w:pStyle w:val="Contenidodelmarco"/>
                      <w:jc w:val="center"/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 xml:space="preserve"> General de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Ordenación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Educativa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w:drawing>
        <wp:anchor distT="0" distB="11430" distL="114935" distR="125095" simplePos="0" relativeHeight="3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45CCC"/>
    <w:multiLevelType w:val="multilevel"/>
    <w:tmpl w:val="6C14D0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ED4DE4"/>
    <w:multiLevelType w:val="multilevel"/>
    <w:tmpl w:val="C4A8E83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4D"/>
    <w:rsid w:val="00303A11"/>
    <w:rsid w:val="00441C46"/>
    <w:rsid w:val="004A414D"/>
    <w:rsid w:val="004D4DFF"/>
    <w:rsid w:val="006608EE"/>
    <w:rsid w:val="008053FC"/>
    <w:rsid w:val="00813ACD"/>
    <w:rsid w:val="00CD58AF"/>
    <w:rsid w:val="00DE4114"/>
    <w:rsid w:val="00E3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AC1EC-17C9-421C-A9C4-7E3C6283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50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4">
    <w:name w:val="Encabezado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ncabezado6">
    <w:name w:val="Encabezado 6"/>
    <w:basedOn w:val="Normal"/>
    <w:next w:val="Normal"/>
    <w:link w:val="Ttulo6Car"/>
    <w:qFormat/>
    <w:rsid w:val="006D682C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Ttulo4Car">
    <w:name w:val="Título 4 Car"/>
    <w:basedOn w:val="Fuentedeprrafopredeter"/>
    <w:link w:val="Encabezado4"/>
    <w:uiPriority w:val="9"/>
    <w:qFormat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D682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D682C"/>
  </w:style>
  <w:style w:type="character" w:customStyle="1" w:styleId="Ttulo6Car">
    <w:name w:val="Título 6 Car"/>
    <w:basedOn w:val="Fuentedeprrafopredeter"/>
    <w:link w:val="Encabezado6"/>
    <w:qFormat/>
    <w:rsid w:val="006D682C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Jose Joaquin</cp:lastModifiedBy>
  <cp:revision>6</cp:revision>
  <dcterms:created xsi:type="dcterms:W3CDTF">2018-03-01T19:35:00Z</dcterms:created>
  <dcterms:modified xsi:type="dcterms:W3CDTF">2018-03-09T06:47:00Z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