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50"/>
        <w:gridCol w:w="4301"/>
        <w:gridCol w:w="4301"/>
        <w:gridCol w:w="430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Las tareas son propuestas didácticas que tienen como objetivo la integración del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hacer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ser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, movilizando todos los recursos disponibles de la persona y permitiendo la transferencia de saberes a la vida cotidiana. Son interdisciplinares, porque incluyen conocimientos de varias materias. Son imprescindibles para adquirir las competencias clave.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Vida cotidiana, interdisciplinares, contextualizadas, adquisición competencias clave.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Elaboración de tartas a partir de recetas escritas por los alumnos.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DA468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Las actividades son propuestas didácticas que tienen como objetivo el dominio de una habilidad o un procedimiento concreto o la comprensión de conceptos. Son importantes para consolidar aprendizajes de conceptos y procedimientos básicos y pueden favorecer el desarrollo de las competencias clave. En sí mismas, no garantizan la transferencia a otras situaciones.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Dominio habilidad, dominio procedimiento básico, comprensión de conceptos, desarrollo competencias clave.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Escribir una receta para la elaboración de una tarta.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DA468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Los ejercicios son propuestas didácticas que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tienen como objetivo la adquisición de una habilidad o un procedimiento concreto y sencillo. Son importantes para consolidar aprendizajes y automatizar algunos conocimientos.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Adquisición habilidad, adquisición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procedimiento sencillo, consolidación aprendizaje, automatización de conocimientos.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Escribir un texto prescriptivo.</w:t>
            </w: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lastRenderedPageBreak/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43"/>
        <w:gridCol w:w="7577"/>
        <w:gridCol w:w="2636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1. Elaborar un tríptico informativo.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1. Búsqueda de información sobre enfermedades de transmisión sexual.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2. Selección de información y elaboración de un guion con la información a exponer.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3. Cálculo de las dimensiones del tríptico y organización de la información.</w:t>
            </w:r>
          </w:p>
          <w:p w:rsidR="00450DBC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4. Elaboración del tríptico.</w:t>
            </w:r>
          </w:p>
          <w:p w:rsidR="00450DBC" w:rsidRPr="00917316" w:rsidRDefault="00DA468E" w:rsidP="00DA468E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5. Visitas informativas a otros grupos y repartición de trípticos.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CD, CCL, CMCT.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CCL, CMCT, SIE.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CCL, CMCT, SIE.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CCL, CEC, CMCT.</w:t>
            </w:r>
          </w:p>
          <w:p w:rsidR="00DA468E" w:rsidRPr="00917316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CCL, CMCT, SIE, CSC.</w:t>
            </w:r>
          </w:p>
        </w:tc>
      </w:tr>
      <w:tr w:rsidR="00450DBC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1. Búsqueda de información por grupos sobre restos de teatros romanos en diferentes ciudades europeas.</w:t>
            </w:r>
          </w:p>
          <w:p w:rsidR="00DA468E" w:rsidRDefault="00DA468E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2. Sele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cción y síntesis de información para exponer en el trabajo.</w:t>
            </w:r>
          </w:p>
          <w:p w:rsidR="00FC0585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3. Elaboración de iconos que indiquen la tipología y los diferentes estados de conservación de las ruinas.</w:t>
            </w:r>
          </w:p>
          <w:p w:rsidR="00DF1FBD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4. Cálculo de la escala que seguir para dibujar el mapa europeo proporcionado en el espacio disponible. </w:t>
            </w:r>
          </w:p>
          <w:p w:rsidR="00FC0585" w:rsidRPr="00917316" w:rsidRDefault="00DF1FBD" w:rsidP="00DF1FB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5. Elaboración del trabajo: dibujo del mapa europeo, localización de las ciudades en el mapa, dibujo de los iconos y plasmación de textos informativos.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DF1FBD" w:rsidP="00DF1FB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CD,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CSC,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CCL, CMCT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SIE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, CPAA, CEC.</w:t>
            </w:r>
          </w:p>
        </w:tc>
      </w:tr>
      <w:tr w:rsidR="00450DBC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1. Elección consensuada del tema sobre el que versará la encuesta.</w:t>
            </w:r>
          </w:p>
          <w:p w:rsidR="00DF1FBD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2. Selección de los datos necesarios para obtener la información que deseamos.</w:t>
            </w:r>
          </w:p>
          <w:p w:rsidR="00DF1FBD" w:rsidRDefault="00584C27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3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. Elección del número de cuestiones.</w:t>
            </w:r>
          </w:p>
          <w:p w:rsidR="00DF1FBD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4. Redacción de las preguntas y las posibles respuestas.</w:t>
            </w:r>
          </w:p>
          <w:p w:rsidR="00DF1FBD" w:rsidRDefault="00584C27" w:rsidP="00DF1FBD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5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. Cálculo de una tabla de porcentajes adecuada a las diferentes respuestas.</w:t>
            </w:r>
          </w:p>
          <w:p w:rsidR="00DF1FBD" w:rsidRDefault="00584C27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 xml:space="preserve">6. 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Elaboración de la encuesta digital.</w:t>
            </w:r>
          </w:p>
          <w:p w:rsidR="00DF1FBD" w:rsidRDefault="00584C27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7. 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Envío de una invitación para realizar la encuesta por correo electrónico.</w:t>
            </w:r>
          </w:p>
          <w:p w:rsidR="00DF1FBD" w:rsidRDefault="00584C27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8. 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Recogida de datos.</w:t>
            </w:r>
          </w:p>
          <w:p w:rsidR="00DF1FBD" w:rsidRDefault="00584C27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9. 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Cálculo de estadísticas y elaboración de gráficos.</w:t>
            </w:r>
          </w:p>
          <w:p w:rsidR="00FC0585" w:rsidRPr="00917316" w:rsidRDefault="00584C27" w:rsidP="00584C2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10. </w:t>
            </w:r>
            <w:r w:rsidR="00DF1FBD">
              <w:rPr>
                <w:rFonts w:ascii="Calibri" w:hAnsi="Calibri" w:cs="Times New Roman"/>
                <w:sz w:val="22"/>
                <w:szCs w:val="22"/>
                <w:lang w:eastAsia="es-ES"/>
              </w:rPr>
              <w:t>Análisis de resultados y elaboración de conclusiones.</w:t>
            </w:r>
            <w:bookmarkStart w:id="0" w:name="_GoBack"/>
            <w:bookmarkEnd w:id="0"/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DF1FB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CD, CSC, CCL, CMCT, SIE, CPAA, CEC.</w:t>
            </w: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D0991" w:rsidRDefault="009D0991" w:rsidP="00FC0585"/>
    <w:sectPr w:rsidR="009D0991" w:rsidSect="0045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D8" w:rsidRDefault="006249D8" w:rsidP="00015902">
      <w:pPr>
        <w:spacing w:after="0"/>
      </w:pPr>
      <w:r>
        <w:separator/>
      </w:r>
    </w:p>
  </w:endnote>
  <w:endnote w:type="continuationSeparator" w:id="0">
    <w:p w:rsidR="006249D8" w:rsidRDefault="006249D8" w:rsidP="00015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D8" w:rsidRDefault="006249D8" w:rsidP="00015902">
      <w:pPr>
        <w:spacing w:after="0"/>
      </w:pPr>
      <w:r>
        <w:separator/>
      </w:r>
    </w:p>
  </w:footnote>
  <w:footnote w:type="continuationSeparator" w:id="0">
    <w:p w:rsidR="006249D8" w:rsidRDefault="006249D8" w:rsidP="00015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209914A" wp14:editId="04178958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5FCB70F" wp14:editId="1B0775D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02" w:rsidRDefault="00015902" w:rsidP="00015902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015902" w:rsidRDefault="00015902" w:rsidP="00015902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B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5pt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BusR7g4AAAAAsBAAAPAAAAZHJzL2Rvd25y&#10;ZXYueG1sTI/BbsIwEETvlfoP1lbqpQInQaRRGge10N7aAxRxNvGSRMTryHZI+PuaUzmO9mnmbbGa&#10;dMcuaF1rSEA8j4AhVUa1VAvY/37NMmDOS1KyM4QCruhgVT4+FDJXZqQtXna+ZqGEXC4FNN73Oeeu&#10;alBLNzc9UridjNXSh2hrrqwcQ7nueBJFKdeypbDQyB7XDVbn3aAFpBs7jFtav2z2n9/yp6+Tw8f1&#10;IMTz0/T+Bszj5P9huOkHdSiD09EMpBzrQo6yZBFYAbMsBXYjlnESAzsKWLwugZcFv/+h/AM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BusR7g4AAAAAsBAAAPAAAAAAAAAAAAAAAAAIYE&#10;AABkcnMvZG93bnJldi54bWxQSwUGAAAAAAQABADzAAAAkwUAAAAA&#10;" stroked="f">
              <v:textbox inset="0,0,0,0">
                <w:txbxContent>
                  <w:p w:rsidR="00015902" w:rsidRDefault="00015902" w:rsidP="00015902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015902" w:rsidRDefault="00015902" w:rsidP="00015902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C"/>
    <w:rsid w:val="00015902"/>
    <w:rsid w:val="00450DBC"/>
    <w:rsid w:val="00584C27"/>
    <w:rsid w:val="006249D8"/>
    <w:rsid w:val="0074582F"/>
    <w:rsid w:val="009D0991"/>
    <w:rsid w:val="00DA468E"/>
    <w:rsid w:val="00DF1FBD"/>
    <w:rsid w:val="00FC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0A970-DD5B-44B0-AF0E-7D78A7D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173FE-C2F3-4AAE-BF9A-AD4A3FFD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Windows User</cp:lastModifiedBy>
  <cp:revision>2</cp:revision>
  <dcterms:created xsi:type="dcterms:W3CDTF">2018-03-28T16:32:00Z</dcterms:created>
  <dcterms:modified xsi:type="dcterms:W3CDTF">2018-03-28T16:32:00Z</dcterms:modified>
</cp:coreProperties>
</file>