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1763"/>
        <w:tblW w:w="0" w:type="auto"/>
        <w:tblLook w:val="04A0" w:firstRow="1" w:lastRow="0" w:firstColumn="1" w:lastColumn="0" w:noHBand="0" w:noVBand="1"/>
      </w:tblPr>
      <w:tblGrid>
        <w:gridCol w:w="2123"/>
        <w:gridCol w:w="2124"/>
        <w:gridCol w:w="2123"/>
        <w:gridCol w:w="2124"/>
      </w:tblGrid>
      <w:tr w:rsidR="00F90BA5" w:rsidTr="00F90BA5">
        <w:tc>
          <w:tcPr>
            <w:tcW w:w="4247" w:type="dxa"/>
            <w:gridSpan w:val="2"/>
            <w:shd w:val="clear" w:color="auto" w:fill="FF0000"/>
          </w:tcPr>
          <w:p w:rsidR="00F90BA5" w:rsidRDefault="00F90BA5" w:rsidP="00F90BA5">
            <w:pPr>
              <w:rPr>
                <w:b/>
              </w:rPr>
            </w:pPr>
            <w:r>
              <w:rPr>
                <w:b/>
              </w:rPr>
              <w:t>ASIGNATURA: ECONOMÍA DE LA EMPRESA</w:t>
            </w:r>
          </w:p>
        </w:tc>
        <w:tc>
          <w:tcPr>
            <w:tcW w:w="4247" w:type="dxa"/>
            <w:gridSpan w:val="2"/>
            <w:shd w:val="clear" w:color="auto" w:fill="FF0000"/>
          </w:tcPr>
          <w:p w:rsidR="00F90BA5" w:rsidRDefault="00F90BA5" w:rsidP="00F90BA5">
            <w:pPr>
              <w:rPr>
                <w:b/>
              </w:rPr>
            </w:pPr>
            <w:r>
              <w:rPr>
                <w:b/>
              </w:rPr>
              <w:t>CURSO: 2º BACHILLERATO</w:t>
            </w:r>
          </w:p>
        </w:tc>
      </w:tr>
      <w:tr w:rsidR="00853F74" w:rsidTr="00F90BA5">
        <w:tc>
          <w:tcPr>
            <w:tcW w:w="4247" w:type="dxa"/>
            <w:gridSpan w:val="2"/>
            <w:shd w:val="clear" w:color="auto" w:fill="FFC000"/>
          </w:tcPr>
          <w:p w:rsidR="00853F74" w:rsidRDefault="00853F74" w:rsidP="00F90BA5">
            <w:pPr>
              <w:rPr>
                <w:b/>
              </w:rPr>
            </w:pPr>
            <w:r>
              <w:rPr>
                <w:b/>
              </w:rPr>
              <w:t xml:space="preserve">CRITERIO DE EVALUACIÓN: </w:t>
            </w:r>
          </w:p>
          <w:p w:rsidR="00853F74" w:rsidRDefault="00853F74" w:rsidP="00F90BA5">
            <w:r w:rsidRPr="002566EA">
              <w:t>Valorar distintos proyectos de inversión, justificando razonadamente la selección de la alternativa más ventajosa, y diferenciar las posibles fuentes de financiación en un determinado supuesto, razonando la elección más adecuada.</w:t>
            </w:r>
            <w:r>
              <w:t xml:space="preserve"> CM,CL,CSC,SIEP,AA y CD</w:t>
            </w:r>
          </w:p>
          <w:p w:rsidR="00F90BA5" w:rsidRDefault="00F90BA5" w:rsidP="00F90BA5"/>
          <w:p w:rsidR="00F90BA5" w:rsidRPr="00853F74" w:rsidRDefault="00F90BA5" w:rsidP="00F90BA5">
            <w:pPr>
              <w:rPr>
                <w:b/>
              </w:rPr>
            </w:pPr>
            <w:r>
              <w:t>Con este criterio se trata de constatar si el alumnado es capaz de evaluar sencillos proyectos de inversión que se le propongan utilizando distintos criterios, tanto estáticos como el del plazo de recuperación y dinámicos como el criterio del valor actual neto, para seleccionar de forma razonada el proyecto que aporte más rentabilidad a la empresa, mediante el cálculo directo o el uso de herramientas informáticas como las hojas de cálculo, valorando la importancia de la inversión para el futuro de la empresa. Además, se trata de comprobar si los alumnos y alumnas analizan y evalúan, a partir de una necesidad concreta de inversión que se le plantee en un caso de empresa, las distintas posibilidades que tiene de recurrir al mercado financiero, diferenciando entre la financiación externa e interna, a corto y a largo plazo, identificando sus ventajas e inconvenientes (coste de cada una, implicaciones en la marcha de la empresa, analizando las variantes de amortización en las propuestas de opciones externas de financiación, etc.), recomendando de forma razonada la opción más adecuada.</w:t>
            </w:r>
          </w:p>
        </w:tc>
        <w:tc>
          <w:tcPr>
            <w:tcW w:w="4247" w:type="dxa"/>
            <w:gridSpan w:val="2"/>
            <w:shd w:val="clear" w:color="auto" w:fill="FFC000"/>
          </w:tcPr>
          <w:p w:rsidR="00853F74" w:rsidRDefault="00853F74" w:rsidP="00F90BA5">
            <w:pPr>
              <w:rPr>
                <w:b/>
              </w:rPr>
            </w:pPr>
            <w:r>
              <w:rPr>
                <w:b/>
              </w:rPr>
              <w:t>ESTÁNDARES DE APRENDIZAJE:</w:t>
            </w:r>
          </w:p>
          <w:p w:rsidR="00853F74" w:rsidRPr="00D3769F" w:rsidRDefault="00853F74" w:rsidP="00F90BA5">
            <w:pPr>
              <w:pStyle w:val="Prrafodelista"/>
              <w:numPr>
                <w:ilvl w:val="0"/>
                <w:numId w:val="3"/>
              </w:numPr>
              <w:autoSpaceDE w:val="0"/>
              <w:autoSpaceDN w:val="0"/>
              <w:adjustRightInd w:val="0"/>
              <w:jc w:val="both"/>
              <w:rPr>
                <w:rFonts w:eastAsia="Times New Roman" w:cstheme="minorHAnsi"/>
                <w:lang w:eastAsia="es-ES_tradnl"/>
              </w:rPr>
            </w:pPr>
            <w:r w:rsidRPr="00D3769F">
              <w:rPr>
                <w:rFonts w:eastAsia="Times New Roman" w:cstheme="minorHAnsi"/>
                <w:lang w:eastAsia="es-ES_tradnl"/>
              </w:rPr>
              <w:t>Conoce y enumera los métodos estáticos (plazo de recuperación) y dinámicos (criterio del valor actual neto) para se</w:t>
            </w:r>
            <w:r w:rsidRPr="00D3769F">
              <w:rPr>
                <w:rFonts w:eastAsia="Times New Roman" w:cstheme="minorHAnsi"/>
                <w:lang w:eastAsia="es-ES_tradnl"/>
              </w:rPr>
              <w:t>leccionar y valorar inversiones.</w:t>
            </w:r>
          </w:p>
          <w:p w:rsidR="00853F74" w:rsidRPr="00853F74" w:rsidRDefault="00853F74" w:rsidP="00F90BA5">
            <w:pPr>
              <w:pStyle w:val="Prrafodelista"/>
              <w:numPr>
                <w:ilvl w:val="0"/>
                <w:numId w:val="3"/>
              </w:numPr>
              <w:autoSpaceDE w:val="0"/>
              <w:autoSpaceDN w:val="0"/>
              <w:adjustRightInd w:val="0"/>
              <w:jc w:val="both"/>
              <w:rPr>
                <w:rFonts w:eastAsia="Times New Roman" w:cstheme="minorHAnsi"/>
                <w:lang w:eastAsia="es-ES_tradnl"/>
              </w:rPr>
            </w:pPr>
            <w:r w:rsidRPr="00853F74">
              <w:rPr>
                <w:rFonts w:eastAsia="Times New Roman" w:cstheme="minorHAnsi"/>
                <w:lang w:eastAsia="es-ES_tradnl"/>
              </w:rPr>
              <w:t>Explica las posibilidades de financiación de las empresas  diferenciando la   financiación externa  e interna, a corto y a largo plazo, así como el coste de cada una  y  las  implicaciones en  la  marcha de  la empresa.</w:t>
            </w:r>
          </w:p>
          <w:p w:rsidR="00853F74" w:rsidRPr="00D3769F" w:rsidRDefault="00853F74" w:rsidP="00F90BA5">
            <w:pPr>
              <w:pStyle w:val="Prrafodelista"/>
              <w:numPr>
                <w:ilvl w:val="0"/>
                <w:numId w:val="3"/>
              </w:numPr>
              <w:autoSpaceDE w:val="0"/>
              <w:autoSpaceDN w:val="0"/>
              <w:adjustRightInd w:val="0"/>
              <w:jc w:val="both"/>
              <w:rPr>
                <w:rFonts w:eastAsia="Times New Roman" w:cstheme="minorHAnsi"/>
                <w:lang w:eastAsia="es-ES_tradnl"/>
              </w:rPr>
            </w:pPr>
            <w:r w:rsidRPr="00D3769F">
              <w:rPr>
                <w:rFonts w:eastAsia="Times New Roman" w:cstheme="minorHAnsi"/>
                <w:lang w:eastAsia="es-ES_tradnl"/>
              </w:rPr>
              <w:t>Analiza en un supuesto concreto de financiación externa las distintas opciones posibles, sus costes y variantes de amortización.</w:t>
            </w:r>
          </w:p>
          <w:p w:rsidR="00853F74" w:rsidRPr="00D3769F" w:rsidRDefault="00853F74" w:rsidP="00F90BA5">
            <w:pPr>
              <w:pStyle w:val="Prrafodelista"/>
              <w:numPr>
                <w:ilvl w:val="0"/>
                <w:numId w:val="3"/>
              </w:numPr>
              <w:autoSpaceDE w:val="0"/>
              <w:autoSpaceDN w:val="0"/>
              <w:adjustRightInd w:val="0"/>
              <w:jc w:val="both"/>
              <w:rPr>
                <w:rFonts w:eastAsia="Times New Roman" w:cstheme="minorHAnsi"/>
                <w:lang w:eastAsia="es-ES_tradnl"/>
              </w:rPr>
            </w:pPr>
            <w:r w:rsidRPr="00D3769F">
              <w:rPr>
                <w:rFonts w:eastAsia="Times New Roman" w:cstheme="minorHAnsi"/>
                <w:lang w:eastAsia="es-ES_tradnl"/>
              </w:rPr>
              <w:t>Analiza y evalúa, a partir de una necesidad concreta, las distintas posibilidades que tienen las empresas de recurrir al mercado financiero.</w:t>
            </w:r>
          </w:p>
          <w:p w:rsidR="00853F74" w:rsidRPr="00D3769F" w:rsidRDefault="00853F74" w:rsidP="00F90BA5">
            <w:pPr>
              <w:pStyle w:val="Prrafodelista"/>
              <w:numPr>
                <w:ilvl w:val="0"/>
                <w:numId w:val="3"/>
              </w:numPr>
              <w:autoSpaceDE w:val="0"/>
              <w:autoSpaceDN w:val="0"/>
              <w:adjustRightInd w:val="0"/>
              <w:jc w:val="both"/>
              <w:rPr>
                <w:rFonts w:eastAsia="Times New Roman" w:cstheme="minorHAnsi"/>
                <w:lang w:eastAsia="es-ES_tradnl"/>
              </w:rPr>
            </w:pPr>
            <w:r w:rsidRPr="00D3769F">
              <w:rPr>
                <w:rFonts w:eastAsia="Times New Roman" w:cstheme="minorHAnsi"/>
                <w:lang w:eastAsia="es-ES_tradnl"/>
              </w:rPr>
              <w:t>Valora las fuentes de financiación de la empresa, tanto externas como internas.</w:t>
            </w:r>
          </w:p>
          <w:p w:rsidR="00853F74" w:rsidRPr="00D3769F" w:rsidRDefault="00853F74" w:rsidP="00F90BA5">
            <w:pPr>
              <w:pStyle w:val="Prrafodelista"/>
              <w:numPr>
                <w:ilvl w:val="0"/>
                <w:numId w:val="3"/>
              </w:numPr>
              <w:autoSpaceDE w:val="0"/>
              <w:autoSpaceDN w:val="0"/>
              <w:adjustRightInd w:val="0"/>
              <w:jc w:val="both"/>
              <w:rPr>
                <w:rFonts w:eastAsia="Times New Roman" w:cstheme="minorHAnsi"/>
                <w:lang w:eastAsia="es-ES_tradnl"/>
              </w:rPr>
            </w:pPr>
            <w:r w:rsidRPr="00D3769F">
              <w:rPr>
                <w:rFonts w:eastAsia="Times New Roman" w:cstheme="minorHAnsi"/>
                <w:lang w:eastAsia="es-ES_tradnl"/>
              </w:rPr>
              <w:t>Analiza y expresa las opciones financieras que mejor se adaptan a un caso concreto de necesidad financiera</w:t>
            </w:r>
          </w:p>
          <w:p w:rsidR="00853F74" w:rsidRPr="00D3769F" w:rsidRDefault="00853F74" w:rsidP="00F90BA5">
            <w:pPr>
              <w:pStyle w:val="Prrafodelista"/>
              <w:numPr>
                <w:ilvl w:val="0"/>
                <w:numId w:val="3"/>
              </w:numPr>
              <w:autoSpaceDE w:val="0"/>
              <w:autoSpaceDN w:val="0"/>
              <w:adjustRightInd w:val="0"/>
              <w:jc w:val="both"/>
              <w:rPr>
                <w:rFonts w:eastAsia="Times New Roman" w:cstheme="minorHAnsi"/>
                <w:lang w:eastAsia="es-ES_tradnl"/>
              </w:rPr>
            </w:pPr>
            <w:r w:rsidRPr="00D3769F">
              <w:rPr>
                <w:rFonts w:eastAsia="Times New Roman" w:cstheme="minorHAnsi"/>
                <w:lang w:eastAsia="es-ES_tradnl"/>
              </w:rPr>
              <w:t>Aplica los conocimientos tecnológicos al análisis y resolución de supuestos.</w:t>
            </w:r>
          </w:p>
          <w:p w:rsidR="00853F74" w:rsidRPr="00853F74" w:rsidRDefault="00853F74" w:rsidP="00F90BA5">
            <w:pPr>
              <w:rPr>
                <w:b/>
              </w:rPr>
            </w:pPr>
          </w:p>
        </w:tc>
      </w:tr>
      <w:tr w:rsidR="00F90BA5" w:rsidTr="00F90BA5">
        <w:tc>
          <w:tcPr>
            <w:tcW w:w="2123" w:type="dxa"/>
            <w:shd w:val="clear" w:color="auto" w:fill="F2F2F2" w:themeFill="background1" w:themeFillShade="F2"/>
          </w:tcPr>
          <w:p w:rsidR="00F90BA5" w:rsidRDefault="00F90BA5" w:rsidP="00F90BA5">
            <w:r>
              <w:t>INICIADO</w:t>
            </w:r>
          </w:p>
        </w:tc>
        <w:tc>
          <w:tcPr>
            <w:tcW w:w="2124" w:type="dxa"/>
            <w:shd w:val="clear" w:color="auto" w:fill="D9D9D9" w:themeFill="background1" w:themeFillShade="D9"/>
          </w:tcPr>
          <w:p w:rsidR="00F90BA5" w:rsidRDefault="00F90BA5" w:rsidP="00F90BA5">
            <w:r>
              <w:t>MEDIO</w:t>
            </w:r>
          </w:p>
        </w:tc>
        <w:tc>
          <w:tcPr>
            <w:tcW w:w="2123" w:type="dxa"/>
            <w:shd w:val="clear" w:color="auto" w:fill="BFBFBF" w:themeFill="background1" w:themeFillShade="BF"/>
          </w:tcPr>
          <w:p w:rsidR="00F90BA5" w:rsidRDefault="00F90BA5" w:rsidP="00F90BA5">
            <w:r>
              <w:t xml:space="preserve">AVANZADO </w:t>
            </w:r>
          </w:p>
        </w:tc>
        <w:tc>
          <w:tcPr>
            <w:tcW w:w="2124" w:type="dxa"/>
            <w:shd w:val="clear" w:color="auto" w:fill="A6A6A6" w:themeFill="background1" w:themeFillShade="A6"/>
          </w:tcPr>
          <w:p w:rsidR="00F90BA5" w:rsidRDefault="00F90BA5" w:rsidP="00F90BA5">
            <w:r>
              <w:t>EXPERTO</w:t>
            </w:r>
          </w:p>
        </w:tc>
      </w:tr>
      <w:tr w:rsidR="00F90BA5" w:rsidTr="00F90BA5">
        <w:tc>
          <w:tcPr>
            <w:tcW w:w="2123" w:type="dxa"/>
            <w:shd w:val="clear" w:color="auto" w:fill="F2F2F2" w:themeFill="background1" w:themeFillShade="F2"/>
          </w:tcPr>
          <w:p w:rsidR="00F90BA5" w:rsidRDefault="00F90BA5" w:rsidP="00F90BA5">
            <w:r>
              <w:t xml:space="preserve">Valora de </w:t>
            </w:r>
            <w:r w:rsidRPr="00F90BA5">
              <w:rPr>
                <w:b/>
              </w:rPr>
              <w:t>forma muy superflua</w:t>
            </w:r>
            <w:r>
              <w:t xml:space="preserve"> distintos proyectos de inversión empresarial, utilizando diversos criterios; justifica razonadamente la selección de la alternativa más ventajosa; y recomienda de forma razonada y </w:t>
            </w:r>
            <w:r w:rsidRPr="00F90BA5">
              <w:rPr>
                <w:b/>
              </w:rPr>
              <w:t>con incoherencia</w:t>
            </w:r>
            <w:r>
              <w:t xml:space="preserve"> la opción de financiación que mejor se adapta a un caso concreto de necesidad financiera, para lo que diferencia </w:t>
            </w:r>
            <w:r w:rsidRPr="00F90BA5">
              <w:rPr>
                <w:b/>
              </w:rPr>
              <w:t>con imprecisión</w:t>
            </w:r>
            <w:r>
              <w:t xml:space="preserve"> entre financiación interna y externa analizando sus respectivos costes, ventajas e inconvenientes.</w:t>
            </w:r>
          </w:p>
        </w:tc>
        <w:tc>
          <w:tcPr>
            <w:tcW w:w="2124" w:type="dxa"/>
            <w:shd w:val="clear" w:color="auto" w:fill="D9D9D9" w:themeFill="background1" w:themeFillShade="D9"/>
          </w:tcPr>
          <w:p w:rsidR="00F90BA5" w:rsidRDefault="00F90BA5" w:rsidP="00F90BA5">
            <w:r>
              <w:t xml:space="preserve">Valora </w:t>
            </w:r>
            <w:r w:rsidRPr="00F90BA5">
              <w:rPr>
                <w:b/>
              </w:rPr>
              <w:t>afrontando desde un desarrollo teórico</w:t>
            </w:r>
            <w:r>
              <w:t xml:space="preserve"> distintos proyectos de inversión empresarial, utilizando diversos criterios; justifica razonadamente la selección de la alternativa más ventajosa; y recomienda de forma razonada y </w:t>
            </w:r>
            <w:r w:rsidRPr="00F90BA5">
              <w:rPr>
                <w:b/>
              </w:rPr>
              <w:t>con ambigüedad</w:t>
            </w:r>
            <w:r>
              <w:t xml:space="preserve"> la opción de financiación que mejor se adapta a un caso concreto de necesidad financiera, para lo que diferencia </w:t>
            </w:r>
            <w:r w:rsidRPr="00F90BA5">
              <w:rPr>
                <w:b/>
              </w:rPr>
              <w:t>sin imprecisiones importantes</w:t>
            </w:r>
            <w:r>
              <w:t xml:space="preserve"> entre financiación interna y externa analizando sus respectivos costes, ventajas e inconvenientes</w:t>
            </w:r>
          </w:p>
        </w:tc>
        <w:tc>
          <w:tcPr>
            <w:tcW w:w="2123" w:type="dxa"/>
            <w:shd w:val="clear" w:color="auto" w:fill="BFBFBF" w:themeFill="background1" w:themeFillShade="BF"/>
          </w:tcPr>
          <w:p w:rsidR="00F90BA5" w:rsidRDefault="00F90BA5" w:rsidP="00F90BA5">
            <w:r>
              <w:t xml:space="preserve">Valora </w:t>
            </w:r>
            <w:r w:rsidRPr="00F90BA5">
              <w:rPr>
                <w:b/>
              </w:rPr>
              <w:t>con agudeza</w:t>
            </w:r>
            <w:r>
              <w:t xml:space="preserve"> distintos proyectos de inversión empresarial, utilizando diversos </w:t>
            </w:r>
            <w:r>
              <w:t>criterios;</w:t>
            </w:r>
            <w:r>
              <w:t xml:space="preserve"> justifica razonadamente la selección de la alternativa más ventajosa; y recomienda de forma razonada y </w:t>
            </w:r>
            <w:r w:rsidRPr="00F90BA5">
              <w:rPr>
                <w:b/>
              </w:rPr>
              <w:t>con coherencia</w:t>
            </w:r>
            <w:r>
              <w:t xml:space="preserve"> la opción de financiación que mejor se adapta a un caso concreto de necesidad financiera, para lo que diferencia </w:t>
            </w:r>
            <w:r w:rsidRPr="00F90BA5">
              <w:rPr>
                <w:b/>
              </w:rPr>
              <w:t>con bastante precisión</w:t>
            </w:r>
            <w:r>
              <w:t xml:space="preserve"> entre financiación interna y externa analizando sus respectivos costes, ventajas e inconvenientes.</w:t>
            </w:r>
          </w:p>
        </w:tc>
        <w:tc>
          <w:tcPr>
            <w:tcW w:w="2124" w:type="dxa"/>
            <w:shd w:val="clear" w:color="auto" w:fill="A6A6A6" w:themeFill="background1" w:themeFillShade="A6"/>
          </w:tcPr>
          <w:p w:rsidR="00F90BA5" w:rsidRDefault="00F90BA5" w:rsidP="00F90BA5">
            <w:r>
              <w:t xml:space="preserve">Valora </w:t>
            </w:r>
            <w:r w:rsidRPr="00F90BA5">
              <w:rPr>
                <w:b/>
              </w:rPr>
              <w:t>relacionando todas las partes</w:t>
            </w:r>
            <w:r>
              <w:t xml:space="preserve"> distintos proyectos de inversión empresarial, utilizando diversos criterios; justifica razona</w:t>
            </w:r>
            <w:bookmarkStart w:id="0" w:name="_GoBack"/>
            <w:bookmarkEnd w:id="0"/>
            <w:r>
              <w:t xml:space="preserve">damente la selección de la alternativa más ventajosa; y recomienda de forma razonada y </w:t>
            </w:r>
            <w:r w:rsidRPr="00F90BA5">
              <w:rPr>
                <w:b/>
              </w:rPr>
              <w:t>con total propiedad</w:t>
            </w:r>
            <w:r>
              <w:t xml:space="preserve"> la opción de financiación que mejor se adapta a un caso concreto de necesidad financiera, para lo que diferencia </w:t>
            </w:r>
            <w:r w:rsidRPr="00F90BA5">
              <w:rPr>
                <w:b/>
              </w:rPr>
              <w:t>con total precisión</w:t>
            </w:r>
            <w:r>
              <w:t xml:space="preserve"> entre financiación interna y externa analizando sus respectivos costes, ventajas e inconvenientes.</w:t>
            </w:r>
          </w:p>
        </w:tc>
      </w:tr>
    </w:tbl>
    <w:p w:rsidR="00416DEE" w:rsidRDefault="00416DEE"/>
    <w:p w:rsidR="00F90BA5" w:rsidRDefault="00F90BA5"/>
    <w:p w:rsidR="00F90BA5" w:rsidRDefault="00F90BA5">
      <w:r>
        <w:t>He usado solo 4 niveles de adquisición de las competencias, ya que en bachillerato es poco probable encontrarse alumnado con necesidades específicas de apoyo educativo, ni necesidades especiales.</w:t>
      </w:r>
    </w:p>
    <w:sectPr w:rsidR="00F90BA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A5" w:rsidRDefault="00F90BA5" w:rsidP="00F90BA5">
      <w:pPr>
        <w:spacing w:after="0" w:line="240" w:lineRule="auto"/>
      </w:pPr>
      <w:r>
        <w:separator/>
      </w:r>
    </w:p>
  </w:endnote>
  <w:endnote w:type="continuationSeparator" w:id="0">
    <w:p w:rsidR="00F90BA5" w:rsidRDefault="00F90BA5" w:rsidP="00F9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A5" w:rsidRDefault="00F90BA5" w:rsidP="00F90BA5">
      <w:pPr>
        <w:spacing w:after="0" w:line="240" w:lineRule="auto"/>
      </w:pPr>
      <w:r>
        <w:separator/>
      </w:r>
    </w:p>
  </w:footnote>
  <w:footnote w:type="continuationSeparator" w:id="0">
    <w:p w:rsidR="00F90BA5" w:rsidRDefault="00F90BA5" w:rsidP="00F90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A5" w:rsidRPr="00F90BA5" w:rsidRDefault="00F90BA5" w:rsidP="00F90BA5">
    <w:pPr>
      <w:pStyle w:val="Encabezado"/>
      <w:jc w:val="center"/>
      <w:rPr>
        <w:b/>
        <w:sz w:val="32"/>
        <w:szCs w:val="32"/>
      </w:rPr>
    </w:pPr>
    <w:r>
      <w:rPr>
        <w:b/>
        <w:sz w:val="32"/>
        <w:szCs w:val="32"/>
      </w:rPr>
      <w:t>RÚBRICA DE CENTRO</w:t>
    </w:r>
  </w:p>
  <w:p w:rsidR="00F90BA5" w:rsidRDefault="00F90B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B4ABA"/>
    <w:multiLevelType w:val="hybridMultilevel"/>
    <w:tmpl w:val="3252D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AD7109"/>
    <w:multiLevelType w:val="hybridMultilevel"/>
    <w:tmpl w:val="88BC05BA"/>
    <w:lvl w:ilvl="0" w:tplc="0C0A0001">
      <w:start w:val="1"/>
      <w:numFmt w:val="bullet"/>
      <w:lvlText w:val=""/>
      <w:lvlJc w:val="left"/>
      <w:pPr>
        <w:ind w:left="755" w:hanging="360"/>
      </w:pPr>
      <w:rPr>
        <w:rFonts w:ascii="Symbol" w:hAnsi="Symbol" w:hint="default"/>
      </w:rPr>
    </w:lvl>
    <w:lvl w:ilvl="1" w:tplc="0C0A0003" w:tentative="1">
      <w:start w:val="1"/>
      <w:numFmt w:val="bullet"/>
      <w:lvlText w:val="o"/>
      <w:lvlJc w:val="left"/>
      <w:pPr>
        <w:ind w:left="1475" w:hanging="360"/>
      </w:pPr>
      <w:rPr>
        <w:rFonts w:ascii="Courier New" w:hAnsi="Courier New" w:cs="Courier New" w:hint="default"/>
      </w:rPr>
    </w:lvl>
    <w:lvl w:ilvl="2" w:tplc="0C0A0005" w:tentative="1">
      <w:start w:val="1"/>
      <w:numFmt w:val="bullet"/>
      <w:lvlText w:val=""/>
      <w:lvlJc w:val="left"/>
      <w:pPr>
        <w:ind w:left="2195" w:hanging="360"/>
      </w:pPr>
      <w:rPr>
        <w:rFonts w:ascii="Wingdings" w:hAnsi="Wingdings" w:hint="default"/>
      </w:rPr>
    </w:lvl>
    <w:lvl w:ilvl="3" w:tplc="0C0A0001" w:tentative="1">
      <w:start w:val="1"/>
      <w:numFmt w:val="bullet"/>
      <w:lvlText w:val=""/>
      <w:lvlJc w:val="left"/>
      <w:pPr>
        <w:ind w:left="2915" w:hanging="360"/>
      </w:pPr>
      <w:rPr>
        <w:rFonts w:ascii="Symbol" w:hAnsi="Symbol" w:hint="default"/>
      </w:rPr>
    </w:lvl>
    <w:lvl w:ilvl="4" w:tplc="0C0A0003" w:tentative="1">
      <w:start w:val="1"/>
      <w:numFmt w:val="bullet"/>
      <w:lvlText w:val="o"/>
      <w:lvlJc w:val="left"/>
      <w:pPr>
        <w:ind w:left="3635" w:hanging="360"/>
      </w:pPr>
      <w:rPr>
        <w:rFonts w:ascii="Courier New" w:hAnsi="Courier New" w:cs="Courier New" w:hint="default"/>
      </w:rPr>
    </w:lvl>
    <w:lvl w:ilvl="5" w:tplc="0C0A0005" w:tentative="1">
      <w:start w:val="1"/>
      <w:numFmt w:val="bullet"/>
      <w:lvlText w:val=""/>
      <w:lvlJc w:val="left"/>
      <w:pPr>
        <w:ind w:left="4355" w:hanging="360"/>
      </w:pPr>
      <w:rPr>
        <w:rFonts w:ascii="Wingdings" w:hAnsi="Wingdings" w:hint="default"/>
      </w:rPr>
    </w:lvl>
    <w:lvl w:ilvl="6" w:tplc="0C0A0001" w:tentative="1">
      <w:start w:val="1"/>
      <w:numFmt w:val="bullet"/>
      <w:lvlText w:val=""/>
      <w:lvlJc w:val="left"/>
      <w:pPr>
        <w:ind w:left="5075" w:hanging="360"/>
      </w:pPr>
      <w:rPr>
        <w:rFonts w:ascii="Symbol" w:hAnsi="Symbol" w:hint="default"/>
      </w:rPr>
    </w:lvl>
    <w:lvl w:ilvl="7" w:tplc="0C0A0003" w:tentative="1">
      <w:start w:val="1"/>
      <w:numFmt w:val="bullet"/>
      <w:lvlText w:val="o"/>
      <w:lvlJc w:val="left"/>
      <w:pPr>
        <w:ind w:left="5795" w:hanging="360"/>
      </w:pPr>
      <w:rPr>
        <w:rFonts w:ascii="Courier New" w:hAnsi="Courier New" w:cs="Courier New" w:hint="default"/>
      </w:rPr>
    </w:lvl>
    <w:lvl w:ilvl="8" w:tplc="0C0A0005" w:tentative="1">
      <w:start w:val="1"/>
      <w:numFmt w:val="bullet"/>
      <w:lvlText w:val=""/>
      <w:lvlJc w:val="left"/>
      <w:pPr>
        <w:ind w:left="6515" w:hanging="360"/>
      </w:pPr>
      <w:rPr>
        <w:rFonts w:ascii="Wingdings" w:hAnsi="Wingdings" w:hint="default"/>
      </w:rPr>
    </w:lvl>
  </w:abstractNum>
  <w:abstractNum w:abstractNumId="2" w15:restartNumberingAfterBreak="0">
    <w:nsid w:val="751912C7"/>
    <w:multiLevelType w:val="hybridMultilevel"/>
    <w:tmpl w:val="0C5203A0"/>
    <w:lvl w:ilvl="0" w:tplc="0C0A0001">
      <w:start w:val="1"/>
      <w:numFmt w:val="bullet"/>
      <w:lvlText w:val=""/>
      <w:lvlJc w:val="left"/>
      <w:pPr>
        <w:ind w:left="755" w:hanging="360"/>
      </w:pPr>
      <w:rPr>
        <w:rFonts w:ascii="Symbol" w:hAnsi="Symbol" w:hint="default"/>
      </w:rPr>
    </w:lvl>
    <w:lvl w:ilvl="1" w:tplc="0C0A0003" w:tentative="1">
      <w:start w:val="1"/>
      <w:numFmt w:val="bullet"/>
      <w:lvlText w:val="o"/>
      <w:lvlJc w:val="left"/>
      <w:pPr>
        <w:ind w:left="1475" w:hanging="360"/>
      </w:pPr>
      <w:rPr>
        <w:rFonts w:ascii="Courier New" w:hAnsi="Courier New" w:cs="Courier New" w:hint="default"/>
      </w:rPr>
    </w:lvl>
    <w:lvl w:ilvl="2" w:tplc="0C0A0005" w:tentative="1">
      <w:start w:val="1"/>
      <w:numFmt w:val="bullet"/>
      <w:lvlText w:val=""/>
      <w:lvlJc w:val="left"/>
      <w:pPr>
        <w:ind w:left="2195" w:hanging="360"/>
      </w:pPr>
      <w:rPr>
        <w:rFonts w:ascii="Wingdings" w:hAnsi="Wingdings" w:hint="default"/>
      </w:rPr>
    </w:lvl>
    <w:lvl w:ilvl="3" w:tplc="0C0A0001" w:tentative="1">
      <w:start w:val="1"/>
      <w:numFmt w:val="bullet"/>
      <w:lvlText w:val=""/>
      <w:lvlJc w:val="left"/>
      <w:pPr>
        <w:ind w:left="2915" w:hanging="360"/>
      </w:pPr>
      <w:rPr>
        <w:rFonts w:ascii="Symbol" w:hAnsi="Symbol" w:hint="default"/>
      </w:rPr>
    </w:lvl>
    <w:lvl w:ilvl="4" w:tplc="0C0A0003" w:tentative="1">
      <w:start w:val="1"/>
      <w:numFmt w:val="bullet"/>
      <w:lvlText w:val="o"/>
      <w:lvlJc w:val="left"/>
      <w:pPr>
        <w:ind w:left="3635" w:hanging="360"/>
      </w:pPr>
      <w:rPr>
        <w:rFonts w:ascii="Courier New" w:hAnsi="Courier New" w:cs="Courier New" w:hint="default"/>
      </w:rPr>
    </w:lvl>
    <w:lvl w:ilvl="5" w:tplc="0C0A0005" w:tentative="1">
      <w:start w:val="1"/>
      <w:numFmt w:val="bullet"/>
      <w:lvlText w:val=""/>
      <w:lvlJc w:val="left"/>
      <w:pPr>
        <w:ind w:left="4355" w:hanging="360"/>
      </w:pPr>
      <w:rPr>
        <w:rFonts w:ascii="Wingdings" w:hAnsi="Wingdings" w:hint="default"/>
      </w:rPr>
    </w:lvl>
    <w:lvl w:ilvl="6" w:tplc="0C0A0001" w:tentative="1">
      <w:start w:val="1"/>
      <w:numFmt w:val="bullet"/>
      <w:lvlText w:val=""/>
      <w:lvlJc w:val="left"/>
      <w:pPr>
        <w:ind w:left="5075" w:hanging="360"/>
      </w:pPr>
      <w:rPr>
        <w:rFonts w:ascii="Symbol" w:hAnsi="Symbol" w:hint="default"/>
      </w:rPr>
    </w:lvl>
    <w:lvl w:ilvl="7" w:tplc="0C0A0003" w:tentative="1">
      <w:start w:val="1"/>
      <w:numFmt w:val="bullet"/>
      <w:lvlText w:val="o"/>
      <w:lvlJc w:val="left"/>
      <w:pPr>
        <w:ind w:left="5795" w:hanging="360"/>
      </w:pPr>
      <w:rPr>
        <w:rFonts w:ascii="Courier New" w:hAnsi="Courier New" w:cs="Courier New" w:hint="default"/>
      </w:rPr>
    </w:lvl>
    <w:lvl w:ilvl="8" w:tplc="0C0A0005" w:tentative="1">
      <w:start w:val="1"/>
      <w:numFmt w:val="bullet"/>
      <w:lvlText w:val=""/>
      <w:lvlJc w:val="left"/>
      <w:pPr>
        <w:ind w:left="65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74"/>
    <w:rsid w:val="00416DEE"/>
    <w:rsid w:val="00853F74"/>
    <w:rsid w:val="00D3769F"/>
    <w:rsid w:val="00F90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557A5-CDEA-4FD5-8732-AD0B973C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5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3F74"/>
    <w:pPr>
      <w:ind w:left="720"/>
      <w:contextualSpacing/>
    </w:pPr>
  </w:style>
  <w:style w:type="paragraph" w:styleId="Encabezado">
    <w:name w:val="header"/>
    <w:basedOn w:val="Normal"/>
    <w:link w:val="EncabezadoCar"/>
    <w:uiPriority w:val="99"/>
    <w:unhideWhenUsed/>
    <w:rsid w:val="00F90B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BA5"/>
  </w:style>
  <w:style w:type="paragraph" w:styleId="Piedepgina">
    <w:name w:val="footer"/>
    <w:basedOn w:val="Normal"/>
    <w:link w:val="PiedepginaCar"/>
    <w:uiPriority w:val="99"/>
    <w:unhideWhenUsed/>
    <w:rsid w:val="00F90B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martos centeno</dc:creator>
  <cp:keywords/>
  <dc:description/>
  <cp:lastModifiedBy>paqui martos centeno</cp:lastModifiedBy>
  <cp:revision>1</cp:revision>
  <dcterms:created xsi:type="dcterms:W3CDTF">2018-04-08T10:03:00Z</dcterms:created>
  <dcterms:modified xsi:type="dcterms:W3CDTF">2018-04-08T10:54:00Z</dcterms:modified>
</cp:coreProperties>
</file>