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Encabezado4"/>
        <w:spacing w:before="200" w:after="0"/>
        <w:rPr>
          <w:lang w:eastAsia="es-ES"/>
        </w:rPr>
      </w:pPr>
      <w:r>
        <w:rPr>
          <w:lang w:eastAsia="es-ES"/>
        </w:rPr>
        <w:t>Estructura de una tarea.</w:t>
      </w:r>
    </w:p>
    <w:p>
      <w:pPr>
        <w:pStyle w:val="Normal"/>
        <w:spacing w:before="0" w:after="0"/>
        <w:contextualSpacing/>
        <w:jc w:val="both"/>
        <w:rPr>
          <w:rFonts w:cs="Times New Roman" w:ascii="Calibri" w:hAnsi="Calibri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tbl>
      <w:tblPr>
        <w:tblW w:w="153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</w:tblPr>
      <w:tblGrid>
        <w:gridCol w:w="964"/>
        <w:gridCol w:w="1240"/>
        <w:gridCol w:w="801"/>
        <w:gridCol w:w="799"/>
        <w:gridCol w:w="598"/>
        <w:gridCol w:w="131"/>
        <w:gridCol w:w="1676"/>
        <w:gridCol w:w="390"/>
        <w:gridCol w:w="1099"/>
        <w:gridCol w:w="1098"/>
        <w:gridCol w:w="2197"/>
        <w:gridCol w:w="2198"/>
        <w:gridCol w:w="2206"/>
      </w:tblGrid>
      <w:tr>
        <w:trPr>
          <w:cantSplit w:val="false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Economía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1º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91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Simulación de búsqueda de empleo</w:t>
            </w:r>
          </w:p>
        </w:tc>
      </w:tr>
      <w:tr>
        <w:trPr>
          <w:trHeight w:val="207" w:hRule="atLeast"/>
          <w:cantSplit w:val="false"/>
        </w:trPr>
        <w:tc>
          <w:tcPr>
            <w:tcW w:w="153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DESCRIPCIÓN DE LA TAREA:</w:t>
            </w:r>
          </w:p>
        </w:tc>
      </w:tr>
      <w:tr>
        <w:trPr>
          <w:trHeight w:val="206" w:hRule="atLeast"/>
          <w:cantSplit w:val="false"/>
        </w:trPr>
        <w:tc>
          <w:tcPr>
            <w:tcW w:w="153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  <w:t xml:space="preserve">  </w:t>
            </w: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  <w:t>Los alumnos/as deberán confeccionar los documentos que dirigimos a las empresas normalmente para pedir empleo: una carta de presentación y un currículo vitae. Para ello, deberán tener en cuenta una serie de indicaciones: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  <w:t>- La tarea se realizará de forma individual.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  <w:t>- Los documentos deberán seguir una estructura estándar.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  <w:t>- En algunos casos, dependiendo del trabajo al que se opte, se valorará la creatividad y originalidad (videocurrículums, collages, …)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  <w:t>- Se realizará un role play donde los alumnos se enfrentarán a una entrevista de trabajo.</w:t>
            </w:r>
          </w:p>
        </w:tc>
      </w:tr>
      <w:tr>
        <w:trPr>
          <w:trHeight w:val="200" w:hRule="atLeast"/>
          <w:cantSplit w:val="false"/>
        </w:trPr>
        <w:tc>
          <w:tcPr>
            <w:tcW w:w="76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76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>
        <w:trPr>
          <w:trHeight w:val="199" w:hRule="atLeast"/>
          <w:cantSplit w:val="false"/>
        </w:trPr>
        <w:tc>
          <w:tcPr>
            <w:tcW w:w="76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2"/>
                <w:sz w:val="20"/>
                <w:szCs w:val="20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2"/>
                <w:sz w:val="20"/>
                <w:szCs w:val="20"/>
                <w:lang w:eastAsia="es-ES"/>
              </w:rPr>
              <w:t>Saber elaborar estos documentos de manera clara y concisa, adaptándose al puesto al que se opta.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76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88" w:before="113" w:after="0"/>
              <w:jc w:val="left"/>
              <w:textAlignment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2"/>
                <w:sz w:val="20"/>
                <w:szCs w:val="20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2"/>
                <w:sz w:val="20"/>
                <w:szCs w:val="20"/>
                <w:lang w:eastAsia="es-ES"/>
              </w:rPr>
              <w:t>Suscitar el interés del destinatario para que tenga en cuenta la posible solicitud.</w:t>
            </w:r>
          </w:p>
        </w:tc>
      </w:tr>
      <w:tr>
        <w:trPr>
          <w:trHeight w:val="199" w:hRule="atLeast"/>
          <w:cantSplit w:val="false"/>
        </w:trPr>
        <w:tc>
          <w:tcPr>
            <w:tcW w:w="76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76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ESTÁNDARES DE EVALUACIÓN:</w:t>
            </w:r>
          </w:p>
        </w:tc>
      </w:tr>
      <w:tr>
        <w:trPr>
          <w:trHeight w:val="199" w:hRule="atLeast"/>
          <w:cantSplit w:val="false"/>
        </w:trPr>
        <w:tc>
          <w:tcPr>
            <w:tcW w:w="76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  <w:t>Competencia en comunicación lingüística (CCL), Competencia Digital (CD) y Competencia Social y Cívica (CSC)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76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bookmarkStart w:id="0" w:name="__DdeLink__1024_1760904972"/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  <w:t>La presentación es adecuada: estilo, ortografía, encuadres, etc.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  <w:t>La estructura es la correcta y no le falta ningún aspecto significativo.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  <w:t>Expone brevemente su capacidad profesional y sus expectativas.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bookmarkStart w:id="1" w:name="__DdeLink__1024_1760904972"/>
            <w:bookmarkEnd w:id="1"/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es-ES"/>
              </w:rPr>
              <w:t>Redacta los documentos a la medida del puesto que se desea conseguir.</w:t>
            </w:r>
          </w:p>
        </w:tc>
      </w:tr>
      <w:tr>
        <w:trPr>
          <w:cantSplit w:val="false"/>
        </w:trPr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2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>
        <w:trPr>
          <w:trHeight w:val="19" w:hRule="atLeast"/>
          <w:cantSplit w:val="false"/>
        </w:trPr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Elaboración de un currículum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vitae.</w:t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 xml:space="preserve">Mostraremos en clase varios 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tipos de currúculums, señalando su estructura y cuáles son las partes imprescindibles de los mismos.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Analizaremos las últimas tendencias en el currículums: vídeocurrículum, currículum anónimos para luchar contra la discriminación</w:t>
            </w:r>
          </w:p>
        </w:tc>
        <w:tc>
          <w:tcPr>
            <w:tcW w:w="2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Analítico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Reflexivo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Creativo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Escolar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Social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60 minutos (una sesión)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Libro de texto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Internet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Indagación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Simulación</w:t>
            </w:r>
          </w:p>
        </w:tc>
      </w:tr>
      <w:tr>
        <w:trPr>
          <w:trHeight w:val="19" w:hRule="atLeast"/>
          <w:cantSplit w:val="false"/>
        </w:trPr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Redacción de una carta de presentación.</w:t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Veremos algunas cartas y la relación que tienen con el puesto de trabajo al que se aspira. Dejaremos claro que no es una simple formalidad ni una fórmula de cortesía; es</w:t>
            </w:r>
            <w:r>
              <w:rPr>
                <w:rFonts w:cs="Times New Roman" w:ascii="Arial" w:hAnsi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nuestra trajeta de visita.</w:t>
            </w:r>
          </w:p>
        </w:tc>
        <w:tc>
          <w:tcPr>
            <w:tcW w:w="2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Analítico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Reflexivo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Creativo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Escolar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Social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60 minutos (una sesión)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Libro de texto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Internet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Indagación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Simulación</w:t>
            </w:r>
          </w:p>
        </w:tc>
      </w:tr>
      <w:tr>
        <w:trPr>
          <w:trHeight w:val="216" w:hRule="atLeast"/>
          <w:cantSplit w:val="false"/>
        </w:trPr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Entrevista de trabajo</w:t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Visionaremos dos vídeos de entervistas de trabajo. En el primero se resalta todo lo que no se debe hacer y el segundo es un modelo de cómo deber realizarse una entrevista perfecta.</w:t>
            </w:r>
          </w:p>
        </w:tc>
        <w:tc>
          <w:tcPr>
            <w:tcW w:w="2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Creativo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Cr´tico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Social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60 minutos (1 sesión)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Internet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Simulación</w:t>
            </w:r>
          </w:p>
        </w:tc>
      </w:tr>
      <w:tr>
        <w:trPr>
          <w:trHeight w:val="19" w:hRule="atLeast"/>
          <w:cantSplit w:val="false"/>
        </w:trPr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Elaboración de un currículum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vitae.</w:t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 xml:space="preserve">Mostraremos en clase varios 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tipos de currúculums, señalando su estructura y cuáles son las partes imprescindibles de los mismos.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Analizaremos las últimas tendencias en el currículums: vídeocurrículum, currículum anónimos para luchar contra la discriminación</w:t>
            </w:r>
          </w:p>
        </w:tc>
        <w:tc>
          <w:tcPr>
            <w:tcW w:w="2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Analítico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Reflexivo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16"/>
                <w:lang w:eastAsia="es-ES"/>
              </w:rPr>
              <w:t>Creativo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Escolar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Social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60 minutos (una sesión)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Libro de texto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Internet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Indagación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sz w:val="16"/>
                <w:szCs w:val="22"/>
                <w:lang w:eastAsia="es-ES"/>
              </w:rPr>
            </w:pPr>
            <w:r>
              <w:rPr>
                <w:rFonts w:cs="Times New Roman" w:ascii="Arial" w:hAnsi="Arial"/>
                <w:sz w:val="16"/>
                <w:szCs w:val="22"/>
                <w:lang w:eastAsia="es-ES"/>
              </w:rPr>
              <w:t>Simulación</w:t>
            </w:r>
          </w:p>
        </w:tc>
      </w:tr>
      <w:tr>
        <w:trPr>
          <w:cantSplit w:val="false"/>
        </w:trPr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cs="Times New Roman" w:ascii="Calibri" w:hAnsi="Calibri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p>
      <w:pPr>
        <w:pStyle w:val="Normal"/>
        <w:spacing w:before="0" w:after="0"/>
        <w:contextualSpacing/>
        <w:jc w:val="both"/>
        <w:rPr>
          <w:rFonts w:cs="Times New Roman" w:ascii="Calibri" w:hAnsi="Calibri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p>
      <w:pPr>
        <w:pStyle w:val="Normal"/>
        <w:spacing w:before="0" w:after="0"/>
        <w:contextualSpacing/>
        <w:jc w:val="both"/>
        <w:rPr>
          <w:rFonts w:cs="Times New Roman" w:ascii="Calibri" w:hAnsi="Calibri"/>
          <w:sz w:val="22"/>
          <w:szCs w:val="22"/>
          <w:lang w:eastAsia="es-ES"/>
        </w:rPr>
      </w:pPr>
      <w:bookmarkStart w:id="2" w:name="_GoBack"/>
      <w:bookmarkStart w:id="3" w:name="_GoBack"/>
      <w:bookmarkEnd w:id="3"/>
      <w:r>
        <w:rPr>
          <w:rFonts w:cs="Times New Roman" w:ascii="Calibri" w:hAnsi="Calibri"/>
          <w:sz w:val="22"/>
          <w:szCs w:val="22"/>
          <w:lang w:eastAsia="es-ES"/>
        </w:rPr>
      </w:r>
    </w:p>
    <w:tbl>
      <w:tblPr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  <w:right w:val="single" w:sz="12" w:space="0" w:color="00000A"/>
          <w:insideV w:val="single" w:sz="12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</w:tblPr>
      <w:tblGrid>
        <w:gridCol w:w="2240"/>
        <w:gridCol w:w="2097"/>
        <w:gridCol w:w="2273"/>
        <w:gridCol w:w="2200"/>
        <w:gridCol w:w="2212"/>
        <w:gridCol w:w="2222"/>
        <w:gridCol w:w="2269"/>
      </w:tblGrid>
      <w:tr>
        <w:trPr>
          <w:cantSplit w:val="false"/>
        </w:trPr>
        <w:tc>
          <w:tcPr>
            <w:tcW w:w="15513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CCC0D9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EVALUACIÓN</w:t>
            </w:r>
          </w:p>
        </w:tc>
      </w:tr>
      <w:tr>
        <w:trPr>
          <w:cantSplit w:val="false"/>
        </w:trPr>
        <w:tc>
          <w:tcPr>
            <w:tcW w:w="2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Criterios de evaluación</w:t>
            </w:r>
          </w:p>
        </w:tc>
        <w:tc>
          <w:tcPr>
            <w:tcW w:w="20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CCC0D9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Estándares de aprendizaje evaluables asociados</w:t>
            </w:r>
          </w:p>
        </w:tc>
        <w:tc>
          <w:tcPr>
            <w:tcW w:w="2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Técnicas, instrumentos de evaluación o evidencias</w:t>
            </w:r>
          </w:p>
        </w:tc>
        <w:tc>
          <w:tcPr>
            <w:tcW w:w="22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NIVEL iniciado o en proceso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NIVEL medio o estándar</w:t>
            </w:r>
          </w:p>
        </w:tc>
        <w:tc>
          <w:tcPr>
            <w:tcW w:w="22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NIVEL avanzado o superado</w:t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CCC0D9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Ponderación del criterio en la UDI</w:t>
            </w:r>
          </w:p>
        </w:tc>
      </w:tr>
      <w:tr>
        <w:trPr>
          <w:cantSplit w:val="false"/>
        </w:trPr>
        <w:tc>
          <w:tcPr>
            <w:tcW w:w="2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88" w:before="113" w:after="0"/>
              <w:jc w:val="left"/>
              <w:textAlignment w:val="center"/>
              <w:rPr>
                <w:rFonts w:cs="Times New Roman" w:ascii="Arial" w:hAnsi="Arial"/>
                <w:b w:val="false"/>
                <w:bCs w:val="false"/>
                <w:color w:val="000000"/>
                <w:spacing w:val="-2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pacing w:val="-2"/>
                <w:sz w:val="16"/>
                <w:szCs w:val="16"/>
                <w:lang w:eastAsia="es-ES"/>
              </w:rPr>
              <w:t>Suscitar el interés del destinatario para que tenga en cuenta la posible solicitud.</w:t>
            </w:r>
          </w:p>
        </w:tc>
        <w:tc>
          <w:tcPr>
            <w:tcW w:w="20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  <w:t>La presentación es adecuada: estilo, ortografía, encuadres, etc.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  <w:t>La estructura es la correcta y no le falta ningún aspecto significativo.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  <w:t>Expone brevemente su capacidad profesional y sus expectativas.</w:t>
            </w:r>
          </w:p>
          <w:p>
            <w:pPr>
              <w:pStyle w:val="Normal"/>
              <w:spacing w:before="0" w:after="0"/>
              <w:contextualSpacing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16"/>
                <w:szCs w:val="16"/>
                <w:lang w:eastAsia="es-ES"/>
              </w:rPr>
              <w:t>Redacta los documentos  a la medida del puesto que se desea conseguir.</w:t>
            </w:r>
          </w:p>
        </w:tc>
        <w:tc>
          <w:tcPr>
            <w:tcW w:w="2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Observación del trabajo en clase.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Revisión de las tareas realizadas.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Cuestionario sobre los aspectos más relevantes.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Simulación (role play) de una entrevista de trabajo.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Revisión de las tareas realizadas.</w:t>
            </w:r>
          </w:p>
        </w:tc>
        <w:tc>
          <w:tcPr>
            <w:tcW w:w="22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Conoce los principales instrumentos y pasos que se deben dar para la busqueda de empleo, pero los elabora y desarrolla de forma muy precaria.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Sabe cuáles son los pasos cadecuados en el proceso de búsqueda de empleo y hace bien los diferentes elementos,desenvolviéndose correctamente.</w:t>
            </w:r>
          </w:p>
        </w:tc>
        <w:tc>
          <w:tcPr>
            <w:tcW w:w="22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Conoce perfectamente los pasos que se deben seguir en la búsqueda de empleo y se muestra creativo a la hora de desarrollarlos, siendo capaz de marcar la diferencia con el resto de candidatos.</w:t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 xml:space="preserve">                 </w:t>
            </w:r>
            <w:r>
              <w:rPr>
                <w:rFonts w:cs="Times New Roman" w:ascii="Calibri" w:hAnsi="Calibri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cs="Times New Roman" w:ascii="Calibri" w:hAnsi="Calibri"/>
                <w:b/>
                <w:bCs/>
                <w:sz w:val="16"/>
                <w:szCs w:val="16"/>
                <w:lang w:eastAsia="es-ES"/>
              </w:rPr>
              <w:t>20%</w:t>
            </w:r>
          </w:p>
        </w:tc>
      </w:tr>
      <w:tr>
        <w:trPr>
          <w:cantSplit w:val="false"/>
        </w:trPr>
        <w:tc>
          <w:tcPr>
            <w:tcW w:w="2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0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2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</w:tr>
      <w:tr>
        <w:trPr>
          <w:cantSplit w:val="false"/>
        </w:trPr>
        <w:tc>
          <w:tcPr>
            <w:tcW w:w="2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0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2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</w:tr>
      <w:tr>
        <w:trPr>
          <w:cantSplit w:val="false"/>
        </w:trPr>
        <w:tc>
          <w:tcPr>
            <w:tcW w:w="2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0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2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Calibri" w:hAnsi="Calibri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709" w:top="863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rPr/>
    </w:pPr>
    <w:r>
      <w:rPr/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fillcolor="#FFFFFF" stroked="f" strokeweight="0pt" style="position:absolute;width:214.9pt;height:23.05pt;mso-wrap-distance-left:9.05pt;mso-wrap-distance-right:9.05pt;mso-wrap-distance-top:0pt;mso-wrap-distance-bottom:0pt;margin-top:-4.3pt;margin-left:576pt">
          <v:textbox inset="0in,0in,0in,0in">
            <w:txbxContent>
              <w:p>
                <w:pPr>
                  <w:pStyle w:val="Encabezado6"/>
                  <w:numPr>
                    <w:ilvl w:val="5"/>
                    <w:numId w:val="1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>
                <w:pPr>
                  <w:pStyle w:val="Contenidodelmarco"/>
                  <w:jc w:val="center"/>
                  <w:rPr>
                    <w:rFonts w:cs="Tahoma" w:ascii="Tahoma" w:hAnsi="Tahoma"/>
                    <w:b/>
                    <w:color w:val="008000"/>
                    <w:sz w:val="16"/>
                  </w:rPr>
                </w:pPr>
                <w:r>
                  <w:rPr>
                    <w:rFonts w:cs="Tahoma" w:ascii="Tahoma" w:hAnsi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rect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Lucida Sans Unicode" w:cs=""/>
        <w:sz w:val="24"/>
        <w:szCs w:val="24"/>
        <w:lang w:val="en-US" w:eastAsia="ja-JP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73050"/>
    <w:pPr>
      <w:widowControl/>
      <w:suppressAutoHyphens w:val="true"/>
      <w:bidi w:val="0"/>
      <w:spacing w:before="0" w:after="200"/>
      <w:jc w:val="left"/>
    </w:pPr>
    <w:rPr>
      <w:rFonts w:ascii="Cambria" w:hAnsi="Cambria" w:eastAsia="Lucida Sans Unicode" w:cs=""/>
      <w:color w:val="auto"/>
      <w:sz w:val="24"/>
      <w:szCs w:val="24"/>
      <w:lang w:val="en-US" w:eastAsia="ja-JP" w:bidi="ar-SA"/>
    </w:rPr>
  </w:style>
  <w:style w:type="paragraph" w:styleId="Encabezado4">
    <w:name w:val="Encabezado 4"/>
    <w:uiPriority w:val="9"/>
    <w:qFormat/>
    <w:unhideWhenUsed/>
    <w:link w:val="Ttulo4Car"/>
    <w:rsid w:val="00773050"/>
    <w:basedOn w:val="Normal"/>
    <w:next w:val="Normal"/>
    <w:pPr>
      <w:keepNext/>
      <w:keepLines/>
      <w:spacing w:before="200" w:after="0"/>
      <w:outlineLvl w:val="3"/>
    </w:pPr>
    <w:rPr>
      <w:rFonts w:ascii="Calibri" w:hAnsi="Calibri" w:cs=""/>
      <w:b/>
      <w:bCs/>
      <w:i/>
      <w:iCs/>
      <w:color w:val="4F81BD"/>
    </w:rPr>
  </w:style>
  <w:style w:type="paragraph" w:styleId="Encabezado6">
    <w:name w:val="Encabezado 6"/>
    <w:qFormat/>
    <w:link w:val="Ttulo6Car"/>
    <w:rsid w:val="000262c3"/>
    <w:basedOn w:val="Normal"/>
    <w:next w:val="Normal"/>
    <w:pPr>
      <w:keepNext/>
      <w:widowControl w:val="false"/>
      <w:suppressAutoHyphens w:val="true"/>
      <w:spacing w:before="0" w:after="0"/>
      <w:jc w:val="right"/>
      <w:outlineLvl w:val="5"/>
    </w:pPr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4Car" w:customStyle="1">
    <w:name w:val="Título 4 Car"/>
    <w:uiPriority w:val="9"/>
    <w:link w:val="Ttulo4"/>
    <w:rsid w:val="00773050"/>
    <w:basedOn w:val="DefaultParagraphFont"/>
    <w:rPr>
      <w:rFonts w:ascii="Calibri" w:hAnsi="Calibri" w:cs=""/>
      <w:b/>
      <w:bCs/>
      <w:i/>
      <w:iCs/>
      <w:color w:val="4F81BD"/>
    </w:rPr>
  </w:style>
  <w:style w:type="character" w:styleId="EncabezadoCar" w:customStyle="1">
    <w:name w:val="Encabezado Car"/>
    <w:uiPriority w:val="99"/>
    <w:link w:val="Encabezado"/>
    <w:rsid w:val="000262c3"/>
    <w:basedOn w:val="DefaultParagraphFont"/>
    <w:rPr/>
  </w:style>
  <w:style w:type="character" w:styleId="PiedepginaCar" w:customStyle="1">
    <w:name w:val="Pie de página Car"/>
    <w:uiPriority w:val="99"/>
    <w:link w:val="Piedepgina"/>
    <w:rsid w:val="000262c3"/>
    <w:basedOn w:val="DefaultParagraphFont"/>
    <w:rPr/>
  </w:style>
  <w:style w:type="character" w:styleId="Ttulo6Car" w:customStyle="1">
    <w:name w:val="Título 6 Car"/>
    <w:link w:val="Ttulo6"/>
    <w:rsid w:val="000262c3"/>
    <w:basedOn w:val="DefaultParagraphFont"/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ListLabel1">
    <w:name w:val="ListLabel 1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uiPriority w:val="99"/>
    <w:unhideWhenUsed/>
    <w:link w:val="EncabezadoCar"/>
    <w:rsid w:val="000262c3"/>
    <w:basedOn w:val="Normal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Pie de página"/>
    <w:uiPriority w:val="99"/>
    <w:unhideWhenUsed/>
    <w:link w:val="PiedepginaCar"/>
    <w:rsid w:val="000262c3"/>
    <w:basedOn w:val="Normal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d6b32"/>
    <w:pPr>
      <w:spacing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4903A-7039-7841-9E91-3173529C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2017-12-19T20:57:00Z</dcterms:created>
  <dc:creator>SVP</dc:creator>
  <dc:language>es-ES</dc:language>
  <cp:lastModifiedBy>Joaquin Martin</cp:lastModifiedBy>
  <dcterms:modified xsi:type="dcterms:W3CDTF">2017-12-19T20:57:00Z</dcterms:modified>
  <cp:revision>2</cp:revision>
</cp:coreProperties>
</file>