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D0" w:rsidRPr="00DC1FA0" w:rsidRDefault="00DC1FA0" w:rsidP="00DC1FA0">
      <w:pPr>
        <w:jc w:val="center"/>
        <w:rPr>
          <w:b/>
          <w:sz w:val="24"/>
          <w:szCs w:val="24"/>
          <w:u w:val="single"/>
        </w:rPr>
      </w:pPr>
      <w:r w:rsidRPr="00DC1FA0">
        <w:rPr>
          <w:b/>
          <w:sz w:val="24"/>
          <w:szCs w:val="24"/>
          <w:u w:val="single"/>
        </w:rPr>
        <w:t>VALORACIÓN DE PROGRESO 2º TRIMESTRE</w:t>
      </w:r>
    </w:p>
    <w:p w:rsidR="00864269" w:rsidRDefault="00864269" w:rsidP="00291906">
      <w:pPr>
        <w:rPr>
          <w:sz w:val="24"/>
          <w:szCs w:val="24"/>
        </w:rPr>
      </w:pPr>
    </w:p>
    <w:p w:rsidR="00291906" w:rsidRPr="00E121F8" w:rsidRDefault="00291906" w:rsidP="00291906">
      <w:pPr>
        <w:rPr>
          <w:sz w:val="24"/>
          <w:szCs w:val="24"/>
        </w:rPr>
      </w:pPr>
      <w:bookmarkStart w:id="0" w:name="_GoBack"/>
      <w:bookmarkEnd w:id="0"/>
      <w:r w:rsidRPr="00E121F8">
        <w:rPr>
          <w:sz w:val="24"/>
          <w:szCs w:val="24"/>
        </w:rPr>
        <w:t xml:space="preserve">Nos encontramos finalizando el segundo trimestre y os quiero animar a que hagáis una valoración de progreso acerca de nuestro trabajo. </w:t>
      </w:r>
    </w:p>
    <w:p w:rsidR="00291906" w:rsidRPr="00E121F8" w:rsidRDefault="00291906" w:rsidP="00291906">
      <w:pPr>
        <w:rPr>
          <w:sz w:val="24"/>
          <w:szCs w:val="24"/>
        </w:rPr>
      </w:pPr>
      <w:r w:rsidRPr="00E121F8">
        <w:rPr>
          <w:sz w:val="24"/>
          <w:szCs w:val="24"/>
        </w:rPr>
        <w:t>Con ella compartiremos las reflexiones de cada uno de nosotros, lo que nos ayudará a afirmarnos en nuestros logros y resolver nuestras necesidades o dificultades. Aquí os dejo la mía.</w:t>
      </w:r>
    </w:p>
    <w:p w:rsidR="00291906" w:rsidRPr="000B2205" w:rsidRDefault="00291906" w:rsidP="00291906">
      <w:pPr>
        <w:pStyle w:val="Prrafodelist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B2205">
        <w:rPr>
          <w:b/>
          <w:sz w:val="24"/>
          <w:szCs w:val="24"/>
          <w:u w:val="single"/>
        </w:rPr>
        <w:t xml:space="preserve">Grado de consecución de los objetivos: 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>Nuestro objetivo para el trimestre que finaliza era doble; por una parte nuestro deseo de mejorar la práctica docente en el área d</w:t>
      </w:r>
      <w:r w:rsidR="00A3762A">
        <w:rPr>
          <w:sz w:val="24"/>
          <w:szCs w:val="24"/>
        </w:rPr>
        <w:t>e las matemáticas</w:t>
      </w:r>
      <w:r w:rsidRPr="000B2205">
        <w:rPr>
          <w:sz w:val="24"/>
          <w:szCs w:val="24"/>
        </w:rPr>
        <w:t xml:space="preserve"> </w:t>
      </w:r>
      <w:r w:rsidR="00A3762A">
        <w:rPr>
          <w:sz w:val="24"/>
          <w:szCs w:val="24"/>
        </w:rPr>
        <w:t xml:space="preserve">con el contacto con  nuevas metodologías </w:t>
      </w:r>
      <w:r w:rsidRPr="000B2205">
        <w:rPr>
          <w:sz w:val="24"/>
          <w:szCs w:val="24"/>
        </w:rPr>
        <w:t>y por otra</w:t>
      </w:r>
      <w:r w:rsidR="00A3762A">
        <w:rPr>
          <w:sz w:val="24"/>
          <w:szCs w:val="24"/>
        </w:rPr>
        <w:t>,</w:t>
      </w:r>
      <w:r w:rsidRPr="000B2205">
        <w:rPr>
          <w:sz w:val="24"/>
          <w:szCs w:val="24"/>
        </w:rPr>
        <w:t xml:space="preserve"> la de </w:t>
      </w:r>
      <w:r w:rsidR="00A3762A">
        <w:rPr>
          <w:sz w:val="24"/>
          <w:szCs w:val="24"/>
        </w:rPr>
        <w:t>plantear una relación de recursos para trabajar la numeración y el cálculo mental en el aula</w:t>
      </w:r>
      <w:r w:rsidRPr="000B2205">
        <w:rPr>
          <w:sz w:val="24"/>
          <w:szCs w:val="24"/>
        </w:rPr>
        <w:t>, contextualizada, atractiva, significativa y relacionad</w:t>
      </w:r>
      <w:r w:rsidR="00A3762A">
        <w:rPr>
          <w:sz w:val="24"/>
          <w:szCs w:val="24"/>
        </w:rPr>
        <w:t>a con los indicadores y criterios de evaluación</w:t>
      </w:r>
      <w:r w:rsidRPr="000B2205">
        <w:rPr>
          <w:sz w:val="24"/>
          <w:szCs w:val="24"/>
        </w:rPr>
        <w:t>, con el o</w:t>
      </w:r>
      <w:r w:rsidR="00A3762A">
        <w:rPr>
          <w:sz w:val="24"/>
          <w:szCs w:val="24"/>
        </w:rPr>
        <w:t>bjeto de incorporar dicho material a</w:t>
      </w:r>
      <w:r w:rsidRPr="000B2205">
        <w:rPr>
          <w:sz w:val="24"/>
          <w:szCs w:val="24"/>
        </w:rPr>
        <w:t xml:space="preserve"> todos los niveles de la primaria</w:t>
      </w:r>
      <w:r w:rsidR="00A3762A">
        <w:rPr>
          <w:sz w:val="24"/>
          <w:szCs w:val="24"/>
        </w:rPr>
        <w:t xml:space="preserve"> e infantil</w:t>
      </w:r>
      <w:r w:rsidRPr="000B2205">
        <w:rPr>
          <w:sz w:val="24"/>
          <w:szCs w:val="24"/>
        </w:rPr>
        <w:t>.</w:t>
      </w:r>
    </w:p>
    <w:p w:rsidR="00291906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 xml:space="preserve"> En </w:t>
      </w:r>
      <w:r w:rsidR="00A3762A">
        <w:rPr>
          <w:sz w:val="24"/>
          <w:szCs w:val="24"/>
        </w:rPr>
        <w:t>el primer caso, lo hemos llevado a cabo, tanto por las propias aportaciones hechas desde los mismos integrantes del Grupo como de forma externa en respuesta a la petición de asesoramiento externo solicitada, a través de la visita de D. Javier Rojas</w:t>
      </w:r>
      <w:r w:rsidR="00DC211B">
        <w:rPr>
          <w:sz w:val="24"/>
          <w:szCs w:val="24"/>
        </w:rPr>
        <w:t>.</w:t>
      </w:r>
    </w:p>
    <w:p w:rsidR="00DC211B" w:rsidRPr="000B2205" w:rsidRDefault="00DC211B" w:rsidP="0029190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 el segundo caso, la elaboración de recursos para trabajar en el aula sigue su proceso de elaboración.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</w:p>
    <w:p w:rsidR="00291906" w:rsidRPr="000B2205" w:rsidRDefault="00291906" w:rsidP="00291906">
      <w:pPr>
        <w:pStyle w:val="Prrafodelist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B2205">
        <w:rPr>
          <w:b/>
          <w:sz w:val="24"/>
          <w:szCs w:val="24"/>
          <w:u w:val="single"/>
        </w:rPr>
        <w:t>Actuaciones propuestas y realizadas: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 xml:space="preserve">Cuando iniciamos este trimestre nos propusimos </w:t>
      </w:r>
      <w:r w:rsidRPr="00B61B21">
        <w:rPr>
          <w:sz w:val="24"/>
          <w:szCs w:val="24"/>
          <w:u w:val="single"/>
        </w:rPr>
        <w:t xml:space="preserve"> revisar</w:t>
      </w:r>
      <w:r w:rsidRPr="000B2205">
        <w:rPr>
          <w:sz w:val="24"/>
          <w:szCs w:val="24"/>
        </w:rPr>
        <w:t xml:space="preserve"> </w:t>
      </w:r>
      <w:r w:rsidR="00DC211B">
        <w:rPr>
          <w:sz w:val="24"/>
          <w:szCs w:val="24"/>
        </w:rPr>
        <w:t>metodologías, recursos y</w:t>
      </w:r>
      <w:r w:rsidRPr="000B2205">
        <w:rPr>
          <w:sz w:val="24"/>
          <w:szCs w:val="24"/>
        </w:rPr>
        <w:t xml:space="preserve"> materiales ya existentes, tanto impresos como digitales, porque lo que queríamos era tener una visión amplia de todo lo que hay relacionado con este aspecto  de la competencia matemática. 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 xml:space="preserve">Posteriormente lo </w:t>
      </w:r>
      <w:r w:rsidRPr="00B61B21">
        <w:rPr>
          <w:sz w:val="24"/>
          <w:szCs w:val="24"/>
          <w:u w:val="single"/>
        </w:rPr>
        <w:t>analizamos</w:t>
      </w:r>
      <w:r w:rsidRPr="000B2205">
        <w:rPr>
          <w:sz w:val="24"/>
          <w:szCs w:val="24"/>
        </w:rPr>
        <w:t xml:space="preserve"> en las sesiones que hemos mantenido, pues queríamos  </w:t>
      </w:r>
      <w:r w:rsidRPr="00B61B21">
        <w:rPr>
          <w:sz w:val="24"/>
          <w:szCs w:val="24"/>
          <w:u w:val="single"/>
        </w:rPr>
        <w:t>seleccionar</w:t>
      </w:r>
      <w:r w:rsidRPr="000B2205">
        <w:rPr>
          <w:sz w:val="24"/>
          <w:szCs w:val="24"/>
        </w:rPr>
        <w:t xml:space="preserve"> aquello que pudiera sernos realmente útil en nuestra práctica docente, pensando en el tipo de alumnado que tenemos.</w:t>
      </w:r>
    </w:p>
    <w:p w:rsidR="00291906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 xml:space="preserve">En todo momento no solo se ha </w:t>
      </w:r>
      <w:r w:rsidRPr="00B61B21">
        <w:rPr>
          <w:sz w:val="24"/>
          <w:szCs w:val="24"/>
          <w:u w:val="single"/>
        </w:rPr>
        <w:t>compartido la información</w:t>
      </w:r>
      <w:r w:rsidRPr="000B2205">
        <w:rPr>
          <w:sz w:val="24"/>
          <w:szCs w:val="24"/>
        </w:rPr>
        <w:t xml:space="preserve"> que cada miembro ha recabado, sino las distintas </w:t>
      </w:r>
      <w:r w:rsidRPr="00B61B21">
        <w:rPr>
          <w:sz w:val="24"/>
          <w:szCs w:val="24"/>
          <w:u w:val="single"/>
        </w:rPr>
        <w:t>reflexiones</w:t>
      </w:r>
      <w:r w:rsidRPr="000B2205">
        <w:rPr>
          <w:sz w:val="24"/>
          <w:szCs w:val="24"/>
        </w:rPr>
        <w:t xml:space="preserve"> que cada uno ha ido aportando, enriqueciendo nuestra</w:t>
      </w:r>
      <w:r w:rsidRPr="00B61B21">
        <w:rPr>
          <w:sz w:val="24"/>
          <w:szCs w:val="24"/>
          <w:u w:val="single"/>
        </w:rPr>
        <w:t xml:space="preserve"> experiencia</w:t>
      </w:r>
      <w:r w:rsidRPr="000B2205">
        <w:rPr>
          <w:sz w:val="24"/>
          <w:szCs w:val="24"/>
        </w:rPr>
        <w:t xml:space="preserve"> como docentes.</w:t>
      </w:r>
    </w:p>
    <w:p w:rsidR="00DC211B" w:rsidRPr="000B2205" w:rsidRDefault="00DC211B" w:rsidP="0029190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Además, programamos una reunión con un asesor que nos presentó una metodología que está aportando muy buenos resultados en el desarrollo del cálculo con un nuevo enfoque y que todos valoramos muy positivamente.</w:t>
      </w:r>
    </w:p>
    <w:p w:rsidR="009D7D02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 xml:space="preserve">Seguimos trabajando en el trimestre para darle forma al proyecto y para ello, en las distintas puestas en común mantenidas </w:t>
      </w:r>
      <w:r w:rsidR="00DC211B">
        <w:rPr>
          <w:sz w:val="24"/>
          <w:szCs w:val="24"/>
          <w:u w:val="single"/>
        </w:rPr>
        <w:t>discutimos acerca de</w:t>
      </w:r>
      <w:r w:rsidRPr="00B61B21">
        <w:rPr>
          <w:sz w:val="24"/>
          <w:szCs w:val="24"/>
          <w:u w:val="single"/>
        </w:rPr>
        <w:t xml:space="preserve"> qué actividades</w:t>
      </w:r>
      <w:r w:rsidRPr="000B2205">
        <w:rPr>
          <w:sz w:val="24"/>
          <w:szCs w:val="24"/>
        </w:rPr>
        <w:t xml:space="preserve"> íbamos a proponer y </w:t>
      </w:r>
      <w:r w:rsidRPr="00B61B21">
        <w:rPr>
          <w:sz w:val="24"/>
          <w:szCs w:val="24"/>
          <w:u w:val="single"/>
        </w:rPr>
        <w:t>de qué manera las íbamos a diseñar</w:t>
      </w:r>
      <w:r w:rsidRPr="000B2205">
        <w:rPr>
          <w:sz w:val="24"/>
          <w:szCs w:val="24"/>
        </w:rPr>
        <w:t xml:space="preserve">. 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lastRenderedPageBreak/>
        <w:t>Las actuaciones descritas debemos decir que han sido plenamente realizadas por todos y todas.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 xml:space="preserve">Además, hemos generado digitalmente este material </w:t>
      </w:r>
      <w:r w:rsidR="009D7D02">
        <w:rPr>
          <w:sz w:val="24"/>
          <w:szCs w:val="24"/>
        </w:rPr>
        <w:t>en un  punto de encuentro de consulta para todos los integrantes del Grupo. Desde él podemos  en algunos casos, aplicarl</w:t>
      </w:r>
      <w:r w:rsidRPr="000B2205">
        <w:rPr>
          <w:sz w:val="24"/>
          <w:szCs w:val="24"/>
        </w:rPr>
        <w:t>o en las aulas a modo de chequeo para observar su grado de idoneidad.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</w:p>
    <w:p w:rsidR="00291906" w:rsidRPr="000B2205" w:rsidRDefault="00291906" w:rsidP="00291906">
      <w:pPr>
        <w:pStyle w:val="Prrafodelist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B2205">
        <w:rPr>
          <w:b/>
          <w:sz w:val="24"/>
          <w:szCs w:val="24"/>
          <w:u w:val="single"/>
        </w:rPr>
        <w:t>Valoración de las actuaciones realizadas:</w:t>
      </w:r>
    </w:p>
    <w:p w:rsidR="00291906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 xml:space="preserve">Para la valoración de las actuaciones realizadas nuestro proyecto contempla dos criterios: 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</w:p>
    <w:p w:rsidR="00291906" w:rsidRPr="00D22BB3" w:rsidRDefault="00291906" w:rsidP="0029190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B2205">
        <w:rPr>
          <w:sz w:val="24"/>
          <w:szCs w:val="24"/>
          <w:u w:val="single"/>
        </w:rPr>
        <w:t>Estrategias:</w:t>
      </w:r>
    </w:p>
    <w:p w:rsidR="00291906" w:rsidRPr="000B2205" w:rsidRDefault="00291906" w:rsidP="00291906">
      <w:pPr>
        <w:pStyle w:val="Prrafodelista"/>
        <w:ind w:left="1080"/>
        <w:rPr>
          <w:sz w:val="24"/>
          <w:szCs w:val="24"/>
        </w:rPr>
      </w:pPr>
      <w:r w:rsidRPr="000B2205">
        <w:rPr>
          <w:sz w:val="24"/>
          <w:szCs w:val="24"/>
        </w:rPr>
        <w:t xml:space="preserve"> Que incluye la realización de Actas mensuales, así como Acciones de todos los miembros del grupo tales como</w:t>
      </w:r>
      <w:r>
        <w:rPr>
          <w:sz w:val="24"/>
          <w:szCs w:val="24"/>
        </w:rPr>
        <w:t>;</w:t>
      </w:r>
      <w:r w:rsidRPr="000B2205">
        <w:rPr>
          <w:sz w:val="24"/>
          <w:szCs w:val="24"/>
        </w:rPr>
        <w:t xml:space="preserve"> la revisión, análisis</w:t>
      </w:r>
      <w:r>
        <w:rPr>
          <w:sz w:val="24"/>
          <w:szCs w:val="24"/>
        </w:rPr>
        <w:t xml:space="preserve">, reflexión </w:t>
      </w:r>
      <w:r w:rsidRPr="000B2205">
        <w:rPr>
          <w:sz w:val="24"/>
          <w:szCs w:val="24"/>
        </w:rPr>
        <w:t xml:space="preserve"> y</w:t>
      </w:r>
      <w:r>
        <w:rPr>
          <w:sz w:val="24"/>
          <w:szCs w:val="24"/>
        </w:rPr>
        <w:t>,</w:t>
      </w:r>
      <w:r w:rsidRPr="000B2205">
        <w:rPr>
          <w:sz w:val="24"/>
          <w:szCs w:val="24"/>
        </w:rPr>
        <w:t xml:space="preserve"> transmisión de la </w:t>
      </w:r>
      <w:r>
        <w:rPr>
          <w:sz w:val="24"/>
          <w:szCs w:val="24"/>
        </w:rPr>
        <w:t>información y experiencias al resto de</w:t>
      </w:r>
      <w:r w:rsidRPr="000B2205">
        <w:rPr>
          <w:sz w:val="24"/>
          <w:szCs w:val="24"/>
        </w:rPr>
        <w:t xml:space="preserve"> miembros del grupo.</w:t>
      </w:r>
    </w:p>
    <w:p w:rsidR="00291906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>En todos los casos, las estrategias han sido llevadas a cabo por todos.</w:t>
      </w:r>
    </w:p>
    <w:p w:rsidR="00291906" w:rsidRPr="000B2205" w:rsidRDefault="00291906" w:rsidP="00291906">
      <w:pPr>
        <w:pStyle w:val="Prrafodelista"/>
        <w:rPr>
          <w:sz w:val="24"/>
          <w:szCs w:val="24"/>
        </w:rPr>
      </w:pPr>
    </w:p>
    <w:p w:rsidR="00291906" w:rsidRPr="000B2205" w:rsidRDefault="00291906" w:rsidP="00291906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 w:rsidRPr="000B2205">
        <w:rPr>
          <w:sz w:val="24"/>
          <w:szCs w:val="24"/>
          <w:u w:val="single"/>
        </w:rPr>
        <w:t>Indicadores: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39"/>
      </w:tblGrid>
      <w:tr w:rsidR="00291906" w:rsidRPr="000B2205" w:rsidTr="000E4F43">
        <w:tc>
          <w:tcPr>
            <w:tcW w:w="5778" w:type="dxa"/>
            <w:shd w:val="clear" w:color="auto" w:fill="D9D9D9" w:themeFill="background1" w:themeFillShade="D9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4</w:t>
            </w:r>
          </w:p>
        </w:tc>
      </w:tr>
      <w:tr w:rsidR="00291906" w:rsidRPr="000B2205" w:rsidTr="000E4F43">
        <w:tc>
          <w:tcPr>
            <w:tcW w:w="5778" w:type="dxa"/>
          </w:tcPr>
          <w:p w:rsidR="00291906" w:rsidRPr="000B2205" w:rsidRDefault="00291906" w:rsidP="000E4F43">
            <w:pPr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&lt;Cumplimiento del calendario</w:t>
            </w:r>
          </w:p>
        </w:tc>
        <w:tc>
          <w:tcPr>
            <w:tcW w:w="709" w:type="dxa"/>
          </w:tcPr>
          <w:p w:rsidR="00291906" w:rsidRPr="000B2205" w:rsidRDefault="00291906" w:rsidP="000E4F43">
            <w:pPr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82059">
              <w:rPr>
                <w:rFonts w:ascii="Gisha" w:hAnsi="Gisha" w:cs="Gisha"/>
                <w:sz w:val="24"/>
                <w:szCs w:val="24"/>
              </w:rPr>
              <w:t>x</w:t>
            </w:r>
          </w:p>
        </w:tc>
      </w:tr>
      <w:tr w:rsidR="00291906" w:rsidRPr="000B2205" w:rsidTr="000E4F43">
        <w:tc>
          <w:tcPr>
            <w:tcW w:w="5778" w:type="dxa"/>
          </w:tcPr>
          <w:p w:rsidR="00291906" w:rsidRPr="000B2205" w:rsidRDefault="00291906" w:rsidP="000E4F43">
            <w:pPr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 xml:space="preserve">&lt;Participación en la Plataforma </w:t>
            </w:r>
            <w:proofErr w:type="spellStart"/>
            <w:r w:rsidRPr="000B2205">
              <w:rPr>
                <w:rFonts w:ascii="Gisha" w:hAnsi="Gisha" w:cs="Gisha"/>
                <w:sz w:val="24"/>
                <w:szCs w:val="24"/>
              </w:rPr>
              <w:t>Colabor</w:t>
            </w:r>
            <w:proofErr w:type="spellEnd"/>
            <w:r w:rsidRPr="000B2205">
              <w:rPr>
                <w:rFonts w:ascii="Gisha" w:hAnsi="Gisha" w:cs="Gisha"/>
                <w:sz w:val="24"/>
                <w:szCs w:val="24"/>
              </w:rPr>
              <w:t>@</w:t>
            </w:r>
          </w:p>
        </w:tc>
        <w:tc>
          <w:tcPr>
            <w:tcW w:w="709" w:type="dxa"/>
          </w:tcPr>
          <w:p w:rsidR="00291906" w:rsidRPr="000B2205" w:rsidRDefault="00291906" w:rsidP="000E4F43">
            <w:pPr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82059">
              <w:rPr>
                <w:rFonts w:ascii="Gisha" w:hAnsi="Gisha" w:cs="Gisha"/>
                <w:sz w:val="24"/>
                <w:szCs w:val="24"/>
              </w:rPr>
              <w:t>x</w:t>
            </w:r>
          </w:p>
        </w:tc>
      </w:tr>
      <w:tr w:rsidR="00291906" w:rsidRPr="000B2205" w:rsidTr="000E4F43">
        <w:tc>
          <w:tcPr>
            <w:tcW w:w="5778" w:type="dxa"/>
          </w:tcPr>
          <w:p w:rsidR="00291906" w:rsidRPr="000B2205" w:rsidRDefault="00291906" w:rsidP="000E4F43">
            <w:pPr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&lt;Productividad de las sesiones</w:t>
            </w:r>
          </w:p>
        </w:tc>
        <w:tc>
          <w:tcPr>
            <w:tcW w:w="709" w:type="dxa"/>
          </w:tcPr>
          <w:p w:rsidR="00291906" w:rsidRPr="000B2205" w:rsidRDefault="00291906" w:rsidP="000E4F43">
            <w:pPr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82059">
              <w:rPr>
                <w:rFonts w:ascii="Gisha" w:hAnsi="Gisha" w:cs="Gisha"/>
                <w:sz w:val="24"/>
                <w:szCs w:val="24"/>
              </w:rPr>
              <w:t>x</w:t>
            </w:r>
          </w:p>
        </w:tc>
      </w:tr>
      <w:tr w:rsidR="00291906" w:rsidRPr="000B2205" w:rsidTr="000E4F43">
        <w:tc>
          <w:tcPr>
            <w:tcW w:w="5778" w:type="dxa"/>
          </w:tcPr>
          <w:p w:rsidR="00291906" w:rsidRPr="000B2205" w:rsidRDefault="00291906" w:rsidP="000E4F43">
            <w:pPr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&lt;Implicación de los componentes</w:t>
            </w:r>
          </w:p>
        </w:tc>
        <w:tc>
          <w:tcPr>
            <w:tcW w:w="709" w:type="dxa"/>
          </w:tcPr>
          <w:p w:rsidR="00291906" w:rsidRPr="000B2205" w:rsidRDefault="00291906" w:rsidP="000E4F43">
            <w:pPr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82059">
              <w:rPr>
                <w:rFonts w:ascii="Gisha" w:hAnsi="Gisha" w:cs="Gisha"/>
                <w:sz w:val="24"/>
                <w:szCs w:val="24"/>
              </w:rPr>
              <w:t>x</w:t>
            </w:r>
          </w:p>
        </w:tc>
      </w:tr>
      <w:tr w:rsidR="00291906" w:rsidRPr="000B2205" w:rsidTr="000E4F43">
        <w:tc>
          <w:tcPr>
            <w:tcW w:w="5778" w:type="dxa"/>
          </w:tcPr>
          <w:p w:rsidR="00291906" w:rsidRPr="000B2205" w:rsidRDefault="00291906" w:rsidP="000E4F43">
            <w:pPr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&lt;Satisfacción con la formación</w:t>
            </w:r>
          </w:p>
        </w:tc>
        <w:tc>
          <w:tcPr>
            <w:tcW w:w="709" w:type="dxa"/>
          </w:tcPr>
          <w:p w:rsidR="00291906" w:rsidRPr="000B2205" w:rsidRDefault="00291906" w:rsidP="000E4F43">
            <w:pPr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82059">
              <w:rPr>
                <w:rFonts w:ascii="Gisha" w:hAnsi="Gisha" w:cs="Gisha"/>
                <w:sz w:val="24"/>
                <w:szCs w:val="24"/>
              </w:rPr>
              <w:t>x</w:t>
            </w:r>
          </w:p>
        </w:tc>
      </w:tr>
      <w:tr w:rsidR="00291906" w:rsidRPr="000B2205" w:rsidTr="000E4F43">
        <w:tc>
          <w:tcPr>
            <w:tcW w:w="5778" w:type="dxa"/>
          </w:tcPr>
          <w:p w:rsidR="00291906" w:rsidRPr="000B2205" w:rsidRDefault="00291906" w:rsidP="000E4F43">
            <w:pPr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&lt;Grado de dificultad para la realización del material</w:t>
            </w:r>
          </w:p>
        </w:tc>
        <w:tc>
          <w:tcPr>
            <w:tcW w:w="709" w:type="dxa"/>
          </w:tcPr>
          <w:p w:rsidR="00291906" w:rsidRPr="000B2205" w:rsidRDefault="00291906" w:rsidP="000E4F43">
            <w:pPr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82059">
              <w:rPr>
                <w:rFonts w:ascii="Gisha" w:hAnsi="Gisha" w:cs="Gisha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</w:tcPr>
          <w:p w:rsidR="00291906" w:rsidRPr="00E82059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91906" w:rsidRPr="000B2205" w:rsidTr="000E4F43">
        <w:tc>
          <w:tcPr>
            <w:tcW w:w="5778" w:type="dxa"/>
            <w:shd w:val="clear" w:color="auto" w:fill="FFFFFF" w:themeFill="background1"/>
          </w:tcPr>
          <w:p w:rsidR="00291906" w:rsidRPr="000B2205" w:rsidRDefault="00291906" w:rsidP="000E4F43">
            <w:pPr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&lt;Material elaborado</w:t>
            </w:r>
          </w:p>
        </w:tc>
        <w:tc>
          <w:tcPr>
            <w:tcW w:w="709" w:type="dxa"/>
            <w:shd w:val="clear" w:color="auto" w:fill="FFFFFF" w:themeFill="background1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91906" w:rsidRPr="000B2205" w:rsidRDefault="009D7D02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91906" w:rsidRPr="000B2205" w:rsidTr="000E4F43">
        <w:tc>
          <w:tcPr>
            <w:tcW w:w="5778" w:type="dxa"/>
            <w:shd w:val="clear" w:color="auto" w:fill="FFFFFF" w:themeFill="background1"/>
          </w:tcPr>
          <w:p w:rsidR="00291906" w:rsidRPr="000B2205" w:rsidRDefault="009D7D02" w:rsidP="000E4F43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&lt;Aplicación</w:t>
            </w:r>
            <w:r w:rsidR="00291906" w:rsidRPr="000B2205">
              <w:rPr>
                <w:rFonts w:ascii="Gisha" w:hAnsi="Gisha" w:cs="Gisha"/>
                <w:sz w:val="24"/>
                <w:szCs w:val="24"/>
              </w:rPr>
              <w:t xml:space="preserve"> en el aula </w:t>
            </w:r>
          </w:p>
        </w:tc>
        <w:tc>
          <w:tcPr>
            <w:tcW w:w="709" w:type="dxa"/>
            <w:shd w:val="clear" w:color="auto" w:fill="FFFFFF" w:themeFill="background1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0B2205">
              <w:rPr>
                <w:rFonts w:ascii="Gisha" w:hAnsi="Gisha" w:cs="Gisha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291906" w:rsidRPr="000B2205" w:rsidRDefault="00291906" w:rsidP="000E4F4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</w:tr>
    </w:tbl>
    <w:p w:rsidR="00291906" w:rsidRPr="000B2205" w:rsidRDefault="00291906" w:rsidP="00291906">
      <w:pPr>
        <w:pStyle w:val="Prrafodelista"/>
        <w:rPr>
          <w:sz w:val="24"/>
          <w:szCs w:val="24"/>
        </w:rPr>
      </w:pPr>
    </w:p>
    <w:p w:rsidR="00291906" w:rsidRDefault="00291906" w:rsidP="00291906">
      <w:pPr>
        <w:pStyle w:val="Prrafodelista"/>
        <w:rPr>
          <w:b/>
          <w:sz w:val="24"/>
          <w:szCs w:val="24"/>
          <w:u w:val="single"/>
        </w:rPr>
      </w:pPr>
    </w:p>
    <w:p w:rsidR="00291906" w:rsidRPr="00E82059" w:rsidRDefault="00291906" w:rsidP="00291906">
      <w:pPr>
        <w:pStyle w:val="Prrafodelist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82059">
        <w:rPr>
          <w:b/>
          <w:sz w:val="24"/>
          <w:szCs w:val="24"/>
          <w:u w:val="single"/>
        </w:rPr>
        <w:t>Inquietudes y necesidades:</w:t>
      </w:r>
    </w:p>
    <w:p w:rsidR="00291906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 xml:space="preserve">Trabajamos </w:t>
      </w:r>
      <w:r w:rsidR="009D7D02">
        <w:rPr>
          <w:sz w:val="24"/>
          <w:szCs w:val="24"/>
        </w:rPr>
        <w:t>con el deseo de que estos nuevos materiales para trabajar la numeración y el cálculo</w:t>
      </w:r>
      <w:r w:rsidRPr="000B2205">
        <w:rPr>
          <w:sz w:val="24"/>
          <w:szCs w:val="24"/>
        </w:rPr>
        <w:t xml:space="preserve"> </w:t>
      </w:r>
      <w:r w:rsidR="009D7D02">
        <w:rPr>
          <w:sz w:val="24"/>
          <w:szCs w:val="24"/>
        </w:rPr>
        <w:t xml:space="preserve">sean </w:t>
      </w:r>
      <w:r w:rsidRPr="000B2205">
        <w:rPr>
          <w:sz w:val="24"/>
          <w:szCs w:val="24"/>
        </w:rPr>
        <w:t>realmente útil</w:t>
      </w:r>
      <w:r w:rsidR="009D7D02">
        <w:rPr>
          <w:sz w:val="24"/>
          <w:szCs w:val="24"/>
        </w:rPr>
        <w:t>es para nuestros alumnos y alumnas</w:t>
      </w:r>
      <w:r w:rsidRPr="000B2205">
        <w:rPr>
          <w:sz w:val="24"/>
          <w:szCs w:val="24"/>
        </w:rPr>
        <w:t>, sin embargo, no ha sido posible valorar en su totalidad la repercusión del material sobre la mejora</w:t>
      </w:r>
      <w:r>
        <w:rPr>
          <w:sz w:val="24"/>
          <w:szCs w:val="24"/>
        </w:rPr>
        <w:t xml:space="preserve"> de los rendimientos escolares </w:t>
      </w:r>
      <w:r w:rsidRPr="000B2205">
        <w:rPr>
          <w:sz w:val="24"/>
          <w:szCs w:val="24"/>
        </w:rPr>
        <w:t>pues</w:t>
      </w:r>
      <w:r>
        <w:rPr>
          <w:sz w:val="24"/>
          <w:szCs w:val="24"/>
        </w:rPr>
        <w:t>,</w:t>
      </w:r>
      <w:r w:rsidRPr="000B2205">
        <w:rPr>
          <w:sz w:val="24"/>
          <w:szCs w:val="24"/>
        </w:rPr>
        <w:t xml:space="preserve"> por la falta de tiempo no ha sido posible aplicarlo en todos los cursos. Y es que, el proceso de elaboración prácticamente </w:t>
      </w:r>
      <w:r w:rsidR="009D7D02">
        <w:rPr>
          <w:sz w:val="24"/>
          <w:szCs w:val="24"/>
        </w:rPr>
        <w:t>nos</w:t>
      </w:r>
      <w:r>
        <w:rPr>
          <w:sz w:val="24"/>
          <w:szCs w:val="24"/>
        </w:rPr>
        <w:t xml:space="preserve"> </w:t>
      </w:r>
      <w:r w:rsidRPr="000B2205">
        <w:rPr>
          <w:sz w:val="24"/>
          <w:szCs w:val="24"/>
        </w:rPr>
        <w:t>ocupa</w:t>
      </w:r>
      <w:r w:rsidR="009D7D02">
        <w:rPr>
          <w:sz w:val="24"/>
          <w:szCs w:val="24"/>
        </w:rPr>
        <w:t xml:space="preserve"> la totalidad del tiempo del que disponemos</w:t>
      </w:r>
      <w:r w:rsidRPr="000B2205">
        <w:rPr>
          <w:sz w:val="24"/>
          <w:szCs w:val="24"/>
        </w:rPr>
        <w:t>.</w:t>
      </w:r>
      <w:r w:rsidR="009D7D02">
        <w:rPr>
          <w:sz w:val="24"/>
          <w:szCs w:val="24"/>
        </w:rPr>
        <w:t xml:space="preserve"> Y continuamos en dicho proceso.</w:t>
      </w:r>
      <w:r w:rsidR="001970D0">
        <w:rPr>
          <w:sz w:val="24"/>
          <w:szCs w:val="24"/>
        </w:rPr>
        <w:t xml:space="preserve"> </w:t>
      </w:r>
    </w:p>
    <w:p w:rsidR="001970D0" w:rsidRPr="000B2205" w:rsidRDefault="001970D0" w:rsidP="0029190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La falta de tiempo en relación al intenso calendario de reuniones programadas desde la Dirección del Centro para el curso nos obliga a redoblar esfuerzos.</w:t>
      </w:r>
    </w:p>
    <w:p w:rsidR="00291906" w:rsidRDefault="00291906" w:rsidP="00291906">
      <w:pPr>
        <w:pStyle w:val="Prrafodelista"/>
        <w:rPr>
          <w:sz w:val="24"/>
          <w:szCs w:val="24"/>
        </w:rPr>
      </w:pPr>
      <w:r w:rsidRPr="000B2205">
        <w:rPr>
          <w:sz w:val="24"/>
          <w:szCs w:val="24"/>
        </w:rPr>
        <w:t>No obstante, en aquellos curs</w:t>
      </w:r>
      <w:r w:rsidR="009D7D02">
        <w:rPr>
          <w:sz w:val="24"/>
          <w:szCs w:val="24"/>
        </w:rPr>
        <w:t>os en los que sí se ha  podido chequear</w:t>
      </w:r>
      <w:r w:rsidR="001970D0">
        <w:rPr>
          <w:sz w:val="24"/>
          <w:szCs w:val="24"/>
        </w:rPr>
        <w:t xml:space="preserve"> algunos de los materiales elaborados debemos</w:t>
      </w:r>
      <w:r w:rsidRPr="000B2205">
        <w:rPr>
          <w:sz w:val="24"/>
          <w:szCs w:val="24"/>
        </w:rPr>
        <w:t xml:space="preserve"> decir que, </w:t>
      </w:r>
      <w:r w:rsidR="001970D0">
        <w:rPr>
          <w:sz w:val="24"/>
          <w:szCs w:val="24"/>
        </w:rPr>
        <w:t xml:space="preserve">la respuesta dada por el </w:t>
      </w:r>
      <w:r w:rsidR="001970D0">
        <w:rPr>
          <w:sz w:val="24"/>
          <w:szCs w:val="24"/>
        </w:rPr>
        <w:lastRenderedPageBreak/>
        <w:t>alumnado es muy positiva porque les resultan motivadores y significativos al mismo tiempo.</w:t>
      </w:r>
    </w:p>
    <w:p w:rsidR="001970D0" w:rsidRDefault="001970D0" w:rsidP="00291906">
      <w:pPr>
        <w:pStyle w:val="Prrafodelista"/>
        <w:rPr>
          <w:sz w:val="24"/>
          <w:szCs w:val="24"/>
        </w:rPr>
      </w:pPr>
    </w:p>
    <w:p w:rsidR="001970D0" w:rsidRDefault="001970D0" w:rsidP="0029190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Desde aquí os animo a seguir trabajando para </w:t>
      </w:r>
      <w:r w:rsidR="00864269">
        <w:rPr>
          <w:sz w:val="24"/>
          <w:szCs w:val="24"/>
        </w:rPr>
        <w:t>alcanzar las metas propuestas.</w:t>
      </w:r>
    </w:p>
    <w:p w:rsidR="00291906" w:rsidRDefault="00864269" w:rsidP="00291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1906" w:rsidRPr="00E121F8">
        <w:rPr>
          <w:sz w:val="24"/>
          <w:szCs w:val="24"/>
        </w:rPr>
        <w:t xml:space="preserve">Un saludo para </w:t>
      </w:r>
      <w:proofErr w:type="spellStart"/>
      <w:r w:rsidR="00291906" w:rsidRPr="00E121F8">
        <w:rPr>
          <w:sz w:val="24"/>
          <w:szCs w:val="24"/>
        </w:rPr>
        <w:t>todo@s</w:t>
      </w:r>
      <w:proofErr w:type="spellEnd"/>
      <w:r w:rsidR="00291906" w:rsidRPr="00E121F8">
        <w:rPr>
          <w:sz w:val="24"/>
          <w:szCs w:val="24"/>
        </w:rPr>
        <w:t>.</w:t>
      </w:r>
    </w:p>
    <w:sectPr w:rsidR="00291906" w:rsidSect="001A1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9D0"/>
    <w:multiLevelType w:val="hybridMultilevel"/>
    <w:tmpl w:val="59383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1A30"/>
    <w:multiLevelType w:val="hybridMultilevel"/>
    <w:tmpl w:val="7DEE9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24E12"/>
    <w:multiLevelType w:val="hybridMultilevel"/>
    <w:tmpl w:val="694044EC"/>
    <w:lvl w:ilvl="0" w:tplc="0E16C90C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8E1"/>
    <w:rsid w:val="000B2205"/>
    <w:rsid w:val="001970D0"/>
    <w:rsid w:val="001A17E2"/>
    <w:rsid w:val="00263ECA"/>
    <w:rsid w:val="00291906"/>
    <w:rsid w:val="00664D33"/>
    <w:rsid w:val="00687C19"/>
    <w:rsid w:val="007377EC"/>
    <w:rsid w:val="00830AAC"/>
    <w:rsid w:val="00864269"/>
    <w:rsid w:val="00993327"/>
    <w:rsid w:val="009D7D02"/>
    <w:rsid w:val="009E144D"/>
    <w:rsid w:val="00A3762A"/>
    <w:rsid w:val="00AD08E1"/>
    <w:rsid w:val="00AE1EFA"/>
    <w:rsid w:val="00B61B21"/>
    <w:rsid w:val="00BD34E9"/>
    <w:rsid w:val="00C1314F"/>
    <w:rsid w:val="00C554FD"/>
    <w:rsid w:val="00CD3E7A"/>
    <w:rsid w:val="00D22BB3"/>
    <w:rsid w:val="00DC1FA0"/>
    <w:rsid w:val="00DC211B"/>
    <w:rsid w:val="00E121F8"/>
    <w:rsid w:val="00E6727B"/>
    <w:rsid w:val="00E82059"/>
    <w:rsid w:val="00EC695A"/>
    <w:rsid w:val="00F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EFCA-0FA4-475A-93CE-9E1072F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8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727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 de Windows</cp:lastModifiedBy>
  <cp:revision>4</cp:revision>
  <cp:lastPrinted>2018-03-11T19:00:00Z</cp:lastPrinted>
  <dcterms:created xsi:type="dcterms:W3CDTF">2017-03-28T20:41:00Z</dcterms:created>
  <dcterms:modified xsi:type="dcterms:W3CDTF">2018-03-11T19:14:00Z</dcterms:modified>
</cp:coreProperties>
</file>