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D" w:rsidRPr="002A73DC" w:rsidRDefault="00233F8D" w:rsidP="00233F8D">
      <w:pPr>
        <w:ind w:left="57" w:right="113"/>
        <w:jc w:val="both"/>
        <w:rPr>
          <w:rFonts w:ascii="Comic Sans MS" w:hAnsi="Comic Sans MS"/>
          <w:b/>
          <w:sz w:val="20"/>
          <w:szCs w:val="20"/>
          <w:lang w:val="es-ES_tradnl"/>
        </w:rPr>
      </w:pPr>
      <w:r w:rsidRPr="002A73DC">
        <w:rPr>
          <w:rFonts w:ascii="Comic Sans MS" w:hAnsi="Comic Sans MS"/>
          <w:b/>
          <w:sz w:val="20"/>
          <w:szCs w:val="20"/>
          <w:lang w:val="es-ES_tradnl"/>
        </w:rPr>
        <w:t>CRITERIOS DE EVALUACIÓN</w:t>
      </w:r>
      <w:r>
        <w:rPr>
          <w:rFonts w:ascii="Comic Sans MS" w:hAnsi="Comic Sans MS"/>
          <w:b/>
          <w:sz w:val="20"/>
          <w:szCs w:val="20"/>
          <w:lang w:val="es-ES_tradnl"/>
        </w:rPr>
        <w:t xml:space="preserve"> </w:t>
      </w:r>
    </w:p>
    <w:p w:rsidR="00233F8D" w:rsidRPr="002A73DC" w:rsidRDefault="00233F8D" w:rsidP="00233F8D">
      <w:pPr>
        <w:ind w:left="57" w:right="113" w:firstLine="708"/>
        <w:jc w:val="both"/>
        <w:rPr>
          <w:rFonts w:ascii="Comic Sans MS" w:hAnsi="Comic Sans MS"/>
          <w:b/>
          <w:sz w:val="20"/>
          <w:szCs w:val="20"/>
          <w:lang w:val="es-ES_tradnl"/>
        </w:rPr>
      </w:pPr>
    </w:p>
    <w:p w:rsidR="00233F8D" w:rsidRDefault="00233F8D" w:rsidP="00233F8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233F8D" w:rsidRPr="00C93C8D" w:rsidRDefault="00233F8D" w:rsidP="00233F8D">
      <w:pPr>
        <w:autoSpaceDE w:val="0"/>
        <w:autoSpaceDN w:val="0"/>
        <w:adjustRightInd w:val="0"/>
        <w:snapToGrid w:val="0"/>
        <w:ind w:firstLine="708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Los criterios de evaluación y su relación con la adquisición de las competencias clave son los establecidos en la  Orden 14 de julio de 2016. En cuanto a los estándares de aprendizaje se han relacionado con los criterios de evaluación atendiendo al  RD</w:t>
      </w:r>
      <w:r w:rsidRPr="00C93C8D">
        <w:rPr>
          <w:rFonts w:ascii="Comic Sans MS" w:hAnsi="Comic Sans MS"/>
          <w:sz w:val="20"/>
          <w:szCs w:val="20"/>
          <w:lang w:val="es-ES_tradnl"/>
        </w:rPr>
        <w:t>1105/2014, de 26 de diciembre, por el que se estab</w:t>
      </w:r>
      <w:r>
        <w:rPr>
          <w:rFonts w:ascii="Comic Sans MS" w:hAnsi="Comic Sans MS"/>
          <w:sz w:val="20"/>
          <w:szCs w:val="20"/>
          <w:lang w:val="es-ES_tradnl"/>
        </w:rPr>
        <w:t>lece el currículo básico de la E</w:t>
      </w:r>
      <w:r w:rsidRPr="00C93C8D">
        <w:rPr>
          <w:rFonts w:ascii="Comic Sans MS" w:hAnsi="Comic Sans MS"/>
          <w:sz w:val="20"/>
          <w:szCs w:val="20"/>
          <w:lang w:val="es-ES_tradnl"/>
        </w:rPr>
        <w:t>ducación Secundaria</w:t>
      </w:r>
      <w:r>
        <w:rPr>
          <w:rFonts w:ascii="Comic Sans MS" w:hAnsi="Comic Sans MS"/>
          <w:sz w:val="20"/>
          <w:szCs w:val="20"/>
          <w:lang w:val="es-ES_tradnl"/>
        </w:rPr>
        <w:t xml:space="preserve"> Obligatoria y del Bachillerato; en aquellos criterios de evaluación que no tienen correspondencia, el departamento didáctico ha procedido a elaborar los estándares de aprendizaje.</w:t>
      </w:r>
    </w:p>
    <w:p w:rsidR="00233F8D" w:rsidRPr="00C93C8D" w:rsidRDefault="00233F8D" w:rsidP="00233F8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sz w:val="20"/>
          <w:szCs w:val="20"/>
        </w:rPr>
      </w:pPr>
    </w:p>
    <w:p w:rsidR="00233F8D" w:rsidRPr="0020545F" w:rsidRDefault="00233F8D" w:rsidP="00233F8D">
      <w:pPr>
        <w:autoSpaceDE w:val="0"/>
        <w:autoSpaceDN w:val="0"/>
        <w:adjustRightInd w:val="0"/>
        <w:jc w:val="both"/>
        <w:rPr>
          <w:rFonts w:ascii="Comic Sans MS" w:hAnsi="Comic Sans MS"/>
          <w:b/>
          <w:color w:val="0F243E"/>
          <w:sz w:val="20"/>
          <w:szCs w:val="20"/>
          <w:u w:val="single"/>
          <w:lang w:val="es-ES_tradnl"/>
        </w:rPr>
      </w:pPr>
      <w:r w:rsidRPr="0020545F">
        <w:rPr>
          <w:rFonts w:ascii="Comic Sans MS" w:hAnsi="Comic Sans MS"/>
          <w:b/>
          <w:color w:val="0F243E"/>
          <w:sz w:val="20"/>
          <w:szCs w:val="20"/>
          <w:u w:val="single"/>
          <w:lang w:val="es-ES_tradnl"/>
        </w:rPr>
        <w:t>Criterios de evaluación. Educación Física. 4º ESO. Estándares de aprendizaje.</w:t>
      </w:r>
      <w:r w:rsidRPr="0020545F">
        <w:rPr>
          <w:rFonts w:ascii="Comic Sans MS" w:hAnsi="Comic Sans MS"/>
          <w:color w:val="0F243E"/>
          <w:sz w:val="20"/>
          <w:szCs w:val="20"/>
          <w:lang w:val="es-ES_tradnl"/>
        </w:rPr>
        <w:t xml:space="preserve"> </w:t>
      </w:r>
      <w:r w:rsidRPr="0020545F">
        <w:rPr>
          <w:rFonts w:ascii="Comic Sans MS" w:hAnsi="Comic Sans MS"/>
          <w:b/>
          <w:color w:val="0F243E"/>
          <w:sz w:val="20"/>
          <w:szCs w:val="20"/>
          <w:u w:val="single"/>
          <w:lang w:val="es-ES_tradnl"/>
        </w:rPr>
        <w:t>Contribución a la adquisición de competencias clave.</w:t>
      </w:r>
    </w:p>
    <w:p w:rsidR="00233F8D" w:rsidRPr="002A73DC" w:rsidRDefault="00233F8D" w:rsidP="00233F8D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1481"/>
        <w:gridCol w:w="3609"/>
      </w:tblGrid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Criterios de evaluación 4º ESO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Competencias Clave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Estándares de aprendizaje evaluables</w:t>
            </w: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1. R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esolver situaciones motrices aplicando fundamentos técnico-tácticos en las actividades físico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-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deportivas propuestas, con eficacia y precisión.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CMCT, CAA, CSC,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SIeP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1.1. Ajusta la realización de las habilidades específicas a los requerimientos técnicos en las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situaciones motrices individuales, preservando su seguridad y teniendo en cuenta sus propias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características.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1.2. Ajusta la realización de las habilidades específicas a los condicionantes generados por los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compañeros y los adversarios en las situaciones colectivas.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1.3. Adapta las técnicas de progresión o desplazamiento a los cambios del medio, priorizando la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seguridad personal y colectiva.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166368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2. Componer y presentar montajes individuales y colectivos, seleccionando y ajustando los elementos de la motricidad expresiva.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n-US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n-US"/>
              </w:rPr>
              <w:t xml:space="preserve">CCL, CAA, CSC,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n-US"/>
              </w:rPr>
              <w:t>SIeP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n-US"/>
              </w:rPr>
              <w:t>CeC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n-US"/>
              </w:rPr>
              <w:t>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2.1. Elabora composiciones de carácter artístico-expresivo, seleccionando las técnicas más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apropiadas para el objetivo previsto.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2.2. Ajusta sus acciones a la intencionalidad de los montajes artístico-expresivos, combinando los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componentes espaciales, temporales y, en su caso, de interacción con los demás.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2.3. Colabora en el diseño y la realización de los montajes artístico expresivos, aportando y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aceptando propuestas.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3. R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esolver situaciones motrices de oposición, colaboración o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colaboración-oposición, en las actividades físico-deportivas propuestas, tomando y ejecutando la decisión más eficaz en función de los objetivos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 xml:space="preserve">. CMCT, CAA, CSC,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SIeP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3.1. Aplica de forma oportuna y eficaz las estrategias específicas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de las actividades de oposición,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contrarrestando o anticipándose a las acciones del adversario.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3.2. Aplica de forma oportuna y eficaz las estrategias específicas de las actividades de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cooperación, ajustando las acciones motrices a los factores presentes y a las intervenciones del resto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de los participantes.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3.3. Aplica de forma oportuna y eficaz las estrategias específicas de las actividades de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colaboración-oposición, intercambiando los diferentes papeles con continuidad, y persiguiendo el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objetivo colectivo de obtener situaciones ventajosas sobre el equipo contrario.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3.4. Aplica soluciones variadas ante las situaciones planteadas, valorando las posibilidades de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éxito de las mismas, y relacionándolas con otras situaciones.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3.5. Justifica las decisiones tomadas en la práctica de las diferentes actividades, reconociendo los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procesos que están implicados en las mismas.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3.6. Argumenta estrategias o posibles soluciones para resolver problemas motores, valorando las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características de cada participante y los factores presentes en el entorno.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4. Argumentar la relación entre los hábitos de vida y sus efectos sobre la condición física y motriz, aplicando los conocimientos sobre actividad física y salud</w:t>
            </w:r>
            <w:proofErr w:type="gram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..</w:t>
            </w:r>
            <w:proofErr w:type="gramEnd"/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CMCT, CAA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4.1. Demuestra conocimientos sobre las características que deben reunir las actividades físicas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con un enfoque saludable y los beneficios que aportan a la salud individual y colectiva.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4.2. Relaciona ejercicios de tonificación y flexibilización con la compensación de los efectos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provocados por las actitudes posturales inadecuadas más frecuentes.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4.3. Relaciona hábitos como el sedentarismo, el consumo de tabaco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y de bebidas alcohólicas con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sus efectos en la condición física y la salud.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4.4. Valora las necesidades de alimentos y de hidratación para la realización de diferentes tipos de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actividad física.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 xml:space="preserve">5. Mejorar o mantener los factores de la condición física y motriz, practicando actividades físico-deportivas adecuadas a su nivel e identificando las adaptaciones orgánicas y su relación con la salud.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CMCT, CAA.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5.1. Valora el grado de implicación de las diferentes capacidades físicas en la realización de los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diferentes tipos de actividad física.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5.2. Practica de forma regular, sistemática y autónoma actividades físicas con el fin de mejorar las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condiciones de salud y calidad de vida.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5.3. Aplica los procedimientos para integrar en los programas de actividad física la mejora de las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capacidades físicas básicas, con una orientación saludable y en un nivel adecuado a sus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posibilidades.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5.4. Valora su aptitud física en sus dimensiones anatómica, fisiológica y motriz, y relacionándolas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con la salud.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6. D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iseñar y realizar las fases de activación y recuperación en la práctica de actividad física considerando la intensidad de los esfuerzos.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CMCT, CAA, CSC.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6.1. Analiza la actividad física principal de la sesión para establecer las características que deben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tener las fases de activación y de vuelta a la calma.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6.2. Selecciona los ejercicios o tareas de activación y de vuelta a la calma de una sesión,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atendiendo a la intensidad o a la dificultad de las tareas de la parte principal.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6.3. Realiza ejercicios o actividades en las fases iniciales y finales de alguna sesión, de forma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autónoma, acorde con su nivel de competencia motriz.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7. Colaborar en la planificación y en la organización de campeonatos o torneos deportivos, previendo los medios y las actuaciones necesarias para la celebración de los mismos y relacionando sus funciones con las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 xml:space="preserve">del resto de personas implicadas.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CAA</w:t>
            </w:r>
            <w:proofErr w:type="gram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,CSC</w:t>
            </w:r>
            <w:proofErr w:type="gram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SIeP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7.1. Asume las funciones encomendadas en la organización de actividades grupales.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7.2. Verifica que su colaboración en la planificación de actividades grupales se ha coordinado con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las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acciones del resto de las personas implicadas.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7.3. Presenta propuestas creativas de utilización de materiales y de planificación para utilizarlos en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su práctica de manera autónoma.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 xml:space="preserve">8. Analizar críticamente el fenómeno deportivo discriminando los aspectos culturales, educativos, integradores y saludables de los que fomentan la violencia, la discriminación o la competitividad mal entendida.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CAA, CSC,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CeC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8.1. Valora las actuaciones e intervenciones de los participantes en las actividades reconociendo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los méritos y respetando los niveles de competencia motriz y otras diferencias.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8.2. Valora las diferentes actividades físicas distinguiendo las aportaciones que cada una tiene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desde el punto de vista cultural, para el disfrute y el enriquecimiento personal y para la relación con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los demás.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8.3. Mantiene una actitud crítica con los comportamientos antideportivos, tanto desde el papel de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participante, como del de espectador.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9. R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econocer el impacto ambiental, económico y social de las actividades físicas y deportivas reflexionando sobre su repercusión en 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la forma de vida en el entorno.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CMCT, CAA, CSC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9.1. Compara los efectos de las diferentes actividades físicas y deportivas en el entorno y los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relaciona con la forma de vida en los mismos.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9.2. Relaciona las actividades físicas en la naturaleza con la salud y la calidad de vida.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9.3. Demuestra hábitos y actitudes de conservación y protección del medio ambiente.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10. Asumir la responsabilidad de la propia seguridad en la práctica de actividad física teniendo en cuenta los factores inherentes a la actividad y previendo las consecuencias que pueden tener las actuaciones poco cuidadosas sobre la salud y la seguridad de las personas participantes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 CCL, CSC.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10.1. Verifica las condiciones de práctica segura usando convenientemente el equipo personal y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los materiales y espacios de práctica.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10.2. Identifica las lesiones más frecuentes derivadas de la práctica de actividad física.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10.3. Describe los protocolos que deben seguirse ante las lesiones, accidentes o situaciones de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emergencia más frecuentes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producidas durante la práctica de actividades físico deportivas.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lastRenderedPageBreak/>
              <w:t>11. D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emostrar actitudes personales inherentes al trabajo en equipo, superando las discrepancias e inseguridades y apoyando a las demás personas ante la resolución de situaciones menos conocidas.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CCL, CAA, CSC,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SIeP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11.1. Fundamenta sus puntos de vista o aportaciones en los trabajos de grupo y admite la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posibilidad de cambio frente a otros argumentos válidos.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11.2. Valora y refuerza las aportaciones enriquecedoras de los compañeros o las compañeras en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los trabajos en grupo.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12. Utilizar eficazmente las tecnologías de la información y la comunicación en el proceso de aprendizaje, para buscar, seleccionar y valorar informaciones relacionadas con los contenidos del curso, comunicando los resultados y conclusiones en el soporte más adecuado.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CCL, Cd, CAA.</w:t>
            </w:r>
          </w:p>
        </w:tc>
        <w:tc>
          <w:tcPr>
            <w:tcW w:w="3609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12.1. Busca, procesa y analiza críticamente informaciones actuales sobre temáticas vinculadas a la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actividad física y la corporalidad utilizando recursos tecnológicos.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12.2. Utiliza las Tecnologías de la Información y la Comunicación para profundizar sobre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contenidos del curso, realizando valoraciones críticas y argumentando sus conclusiones.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12.3. Comunica y comparte información e ideas en los soportes y en entornos apropiados.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  <w:tr w:rsidR="00233F8D" w:rsidRPr="00AC0571" w:rsidTr="0002068B">
        <w:tc>
          <w:tcPr>
            <w:tcW w:w="3630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13.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81" w:type="dxa"/>
          </w:tcPr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CMCT, CAA, CSC, </w:t>
            </w:r>
            <w:proofErr w:type="spellStart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SIeP</w:t>
            </w:r>
            <w:proofErr w:type="spellEnd"/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609" w:type="dxa"/>
          </w:tcPr>
          <w:p w:rsidR="00233F8D" w:rsidRPr="000D7699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13</w:t>
            </w:r>
            <w:r w:rsidRPr="00AC0571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.1. Participa activamente en la mejora de las capacidades físicas básicas desde un enfoque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saludable, utilizand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o las</w:t>
            </w:r>
            <w:r w:rsidRPr="00AC0571"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 xml:space="preserve"> </w:t>
            </w:r>
            <w:r w:rsidRPr="000D7699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 xml:space="preserve">posibilidades que ofrece el entorno natural y urbano 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 xml:space="preserve"> 13</w:t>
            </w:r>
            <w:r w:rsidRPr="00AC0571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.2. Alcanza niveles de condición física acordes a su momento de desarrollo motor y a sus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posibilidades.</w:t>
            </w:r>
          </w:p>
          <w:p w:rsidR="00233F8D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13.3</w:t>
            </w:r>
            <w:r w:rsidRPr="00AC0571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. Analiza la importancia de la práctica habitual de actividad física para la mejora de la propia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C0571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condición física, relacionando el efecto de esta práctica con la mejora de la calidad de vida.</w:t>
            </w:r>
          </w:p>
          <w:p w:rsidR="00233F8D" w:rsidRPr="000D7699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13</w:t>
            </w:r>
            <w:r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  <w:t>.</w:t>
            </w:r>
            <w:r w:rsidRPr="000D7699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4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>.</w:t>
            </w:r>
            <w:r w:rsidRPr="000D7699">
              <w:rPr>
                <w:rFonts w:ascii="Comic Sans MS" w:hAnsi="Comic Sans MS"/>
                <w:color w:val="FF0000"/>
                <w:sz w:val="20"/>
                <w:szCs w:val="20"/>
                <w:lang w:val="es-ES_tradnl"/>
              </w:rPr>
              <w:t xml:space="preserve"> Respeta el entorno natural y urbano y lo valora como un lugar común para la realización de actividades físico-deportivas</w:t>
            </w:r>
          </w:p>
          <w:p w:rsidR="00233F8D" w:rsidRPr="00AC0571" w:rsidRDefault="00233F8D" w:rsidP="00020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/>
                <w:color w:val="0F243E"/>
                <w:sz w:val="20"/>
                <w:szCs w:val="20"/>
                <w:lang w:val="es-ES_tradnl"/>
              </w:rPr>
            </w:pPr>
          </w:p>
        </w:tc>
      </w:tr>
    </w:tbl>
    <w:p w:rsidR="00233F8D" w:rsidRPr="00042263" w:rsidRDefault="00233F8D" w:rsidP="00233F8D">
      <w:pPr>
        <w:autoSpaceDE w:val="0"/>
        <w:autoSpaceDN w:val="0"/>
        <w:adjustRightInd w:val="0"/>
        <w:jc w:val="both"/>
        <w:rPr>
          <w:rFonts w:ascii="Comic Sans MS" w:hAnsi="Comic Sans MS"/>
          <w:caps/>
          <w:sz w:val="20"/>
          <w:szCs w:val="20"/>
        </w:rPr>
      </w:pPr>
    </w:p>
    <w:p w:rsidR="002433A4" w:rsidRDefault="002433A4"/>
    <w:sectPr w:rsidR="002433A4" w:rsidSect="00243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8D"/>
    <w:rsid w:val="00233F8D"/>
    <w:rsid w:val="002433A4"/>
    <w:rsid w:val="00B12232"/>
    <w:rsid w:val="00DF03A3"/>
    <w:rsid w:val="00E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F8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beica</dc:creator>
  <cp:keywords/>
  <dc:description/>
  <cp:lastModifiedBy>beica</cp:lastModifiedBy>
  <cp:revision>2</cp:revision>
  <dcterms:created xsi:type="dcterms:W3CDTF">2018-02-11T17:16:00Z</dcterms:created>
  <dcterms:modified xsi:type="dcterms:W3CDTF">2018-02-11T17:18:00Z</dcterms:modified>
</cp:coreProperties>
</file>