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6D" w:rsidRPr="00F11DC2" w:rsidRDefault="00D7266D">
      <w:pPr>
        <w:rPr>
          <w:rFonts w:ascii="Arial" w:hAnsi="Arial" w:cs="Arial"/>
        </w:rPr>
      </w:pPr>
    </w:p>
    <w:p w:rsidR="00D7266D" w:rsidRPr="00F11DC2" w:rsidRDefault="00D7266D">
      <w:pPr>
        <w:rPr>
          <w:rFonts w:ascii="Arial" w:hAnsi="Arial" w:cs="Arial"/>
        </w:rPr>
      </w:pPr>
    </w:p>
    <w:tbl>
      <w:tblPr>
        <w:tblStyle w:val="Tablaconcuadrcula"/>
        <w:tblW w:w="5000" w:type="pct"/>
        <w:tblLook w:val="04A0"/>
      </w:tblPr>
      <w:tblGrid>
        <w:gridCol w:w="4357"/>
        <w:gridCol w:w="4357"/>
      </w:tblGrid>
      <w:tr w:rsidR="003010BE" w:rsidRPr="00F11DC2" w:rsidTr="003010BE">
        <w:trPr>
          <w:trHeight w:val="1099"/>
        </w:trPr>
        <w:tc>
          <w:tcPr>
            <w:tcW w:w="5000" w:type="pct"/>
            <w:gridSpan w:val="2"/>
            <w:shd w:val="clear" w:color="auto" w:fill="649A1B" w:themeFill="accent1" w:themeFillShade="BF"/>
            <w:vAlign w:val="center"/>
          </w:tcPr>
          <w:p w:rsidR="00D7266D" w:rsidRPr="00F11DC2" w:rsidRDefault="00DC450C" w:rsidP="00B061D3">
            <w:pPr>
              <w:jc w:val="center"/>
              <w:rPr>
                <w:rFonts w:ascii="Arial" w:hAnsi="Arial" w:cs="Arial"/>
                <w:b/>
                <w:color w:val="FFFFFF" w:themeColor="background1"/>
                <w:sz w:val="56"/>
              </w:rPr>
            </w:pPr>
            <w:r w:rsidRPr="00F11DC2">
              <w:rPr>
                <w:rFonts w:ascii="Arial" w:hAnsi="Arial" w:cs="Arial"/>
                <w:noProof/>
                <w:lang w:val="es-ES"/>
              </w:rPr>
              <w:drawing>
                <wp:anchor distT="0" distB="0" distL="114300" distR="114300" simplePos="0" relativeHeight="251658240" behindDoc="0" locked="0" layoutInCell="1" allowOverlap="1">
                  <wp:simplePos x="0" y="0"/>
                  <wp:positionH relativeFrom="margin">
                    <wp:posOffset>4307840</wp:posOffset>
                  </wp:positionH>
                  <wp:positionV relativeFrom="margin">
                    <wp:posOffset>8890</wp:posOffset>
                  </wp:positionV>
                  <wp:extent cx="837565" cy="50927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509270"/>
                          </a:xfrm>
                          <a:prstGeom prst="rect">
                            <a:avLst/>
                          </a:prstGeom>
                          <a:noFill/>
                          <a:ln>
                            <a:noFill/>
                          </a:ln>
                        </pic:spPr>
                      </pic:pic>
                    </a:graphicData>
                  </a:graphic>
                </wp:anchor>
              </w:drawing>
            </w:r>
            <w:r w:rsidR="00D7266D" w:rsidRPr="00F11DC2">
              <w:rPr>
                <w:rFonts w:ascii="Arial" w:hAnsi="Arial" w:cs="Arial"/>
                <w:b/>
                <w:color w:val="FFFFFF" w:themeColor="background1"/>
                <w:sz w:val="56"/>
              </w:rPr>
              <w:t>DEBATE ACADÉMICO</w:t>
            </w:r>
          </w:p>
        </w:tc>
      </w:tr>
      <w:tr w:rsidR="003010BE" w:rsidRPr="00F11DC2" w:rsidTr="003010BE">
        <w:trPr>
          <w:trHeight w:val="365"/>
        </w:trPr>
        <w:tc>
          <w:tcPr>
            <w:tcW w:w="5000" w:type="pct"/>
            <w:gridSpan w:val="2"/>
            <w:shd w:val="clear" w:color="auto" w:fill="B7E775" w:themeFill="accent1" w:themeFillTint="99"/>
          </w:tcPr>
          <w:p w:rsidR="00D7266D" w:rsidRPr="00F11DC2" w:rsidRDefault="00B739D3" w:rsidP="003D2C9C">
            <w:pPr>
              <w:rPr>
                <w:rFonts w:ascii="Arial" w:hAnsi="Arial" w:cs="Arial"/>
              </w:rPr>
            </w:pPr>
            <w:r w:rsidRPr="00F11DC2">
              <w:rPr>
                <w:rFonts w:ascii="Arial" w:hAnsi="Arial" w:cs="Arial"/>
              </w:rPr>
              <w:t>TÍTULO</w:t>
            </w:r>
            <w:r w:rsidR="003010BE">
              <w:rPr>
                <w:rFonts w:ascii="Arial" w:hAnsi="Arial" w:cs="Arial"/>
              </w:rPr>
              <w:t xml:space="preserve">: </w:t>
            </w:r>
            <w:r w:rsidR="003D2C9C">
              <w:rPr>
                <w:rFonts w:ascii="Arial" w:hAnsi="Arial" w:cs="Arial"/>
              </w:rPr>
              <w:t>MATRIMONIO GAY</w:t>
            </w:r>
          </w:p>
        </w:tc>
      </w:tr>
      <w:tr w:rsidR="003010BE" w:rsidRPr="00F11DC2" w:rsidTr="003010BE">
        <w:trPr>
          <w:trHeight w:val="365"/>
        </w:trPr>
        <w:tc>
          <w:tcPr>
            <w:tcW w:w="5000" w:type="pct"/>
            <w:gridSpan w:val="2"/>
            <w:shd w:val="clear" w:color="auto" w:fill="B7E775" w:themeFill="accent1" w:themeFillTint="99"/>
          </w:tcPr>
          <w:p w:rsidR="00B739D3" w:rsidRPr="00F11DC2" w:rsidRDefault="00B739D3">
            <w:pPr>
              <w:rPr>
                <w:rFonts w:ascii="Arial" w:hAnsi="Arial" w:cs="Arial"/>
              </w:rPr>
            </w:pPr>
            <w:r w:rsidRPr="00F11DC2">
              <w:rPr>
                <w:rFonts w:ascii="Arial" w:hAnsi="Arial" w:cs="Arial"/>
              </w:rPr>
              <w:t>ÁMBITO</w:t>
            </w:r>
            <w:r w:rsidR="003010BE">
              <w:rPr>
                <w:rFonts w:ascii="Arial" w:hAnsi="Arial" w:cs="Arial"/>
              </w:rPr>
              <w:t>: social.</w:t>
            </w:r>
          </w:p>
        </w:tc>
      </w:tr>
      <w:tr w:rsidR="003010BE" w:rsidRPr="00F11DC2" w:rsidTr="003010BE">
        <w:trPr>
          <w:trHeight w:val="1489"/>
        </w:trPr>
        <w:tc>
          <w:tcPr>
            <w:tcW w:w="5000" w:type="pct"/>
            <w:gridSpan w:val="2"/>
            <w:shd w:val="clear" w:color="auto" w:fill="B7E775" w:themeFill="accent1" w:themeFillTint="99"/>
          </w:tcPr>
          <w:p w:rsidR="00B061D3" w:rsidRPr="00F11DC2" w:rsidRDefault="00B061D3" w:rsidP="00417DC4">
            <w:pPr>
              <w:pStyle w:val="NormalWeb"/>
              <w:jc w:val="both"/>
              <w:rPr>
                <w:rFonts w:ascii="Arial" w:hAnsi="Arial" w:cs="Arial"/>
              </w:rPr>
            </w:pPr>
            <w:r w:rsidRPr="00F11DC2">
              <w:rPr>
                <w:rFonts w:ascii="Arial" w:hAnsi="Arial" w:cs="Arial"/>
              </w:rPr>
              <w:t>JUSTIFICACIÓN</w:t>
            </w:r>
            <w:r w:rsidR="003010BE">
              <w:rPr>
                <w:rFonts w:ascii="Arial" w:hAnsi="Arial" w:cs="Arial"/>
              </w:rPr>
              <w:t xml:space="preserve">: </w:t>
            </w:r>
            <w:r w:rsidR="003D2C9C">
              <w:rPr>
                <w:color w:val="000000"/>
                <w:lang w:val="es-ES_tradnl"/>
              </w:rPr>
              <w:t>L</w:t>
            </w:r>
            <w:r w:rsidR="003D2C9C">
              <w:rPr>
                <w:color w:val="000000"/>
              </w:rPr>
              <w:t>a igualdad de derechos debe ser para todos, sin discriminar por razas, religiones, sexo u opción sexual. De este modo, negar el derecho de matrimonio sería parte de la discriminación, ya que todo tipo de parejas- sean heterosexuales u homosexuales- merecen tener los mismos derechos legales asociados con el matrimonio: como derecho a propiedad, herencias y adopción.</w:t>
            </w:r>
            <w:r w:rsidR="008405BB">
              <w:rPr>
                <w:color w:val="000000"/>
              </w:rPr>
              <w:t xml:space="preserve"> </w:t>
            </w:r>
            <w:r w:rsidR="003D2C9C">
              <w:rPr>
                <w:color w:val="000000"/>
              </w:rPr>
              <w:t>Por otra parte, sus detractores consideran que el objetivo del matrimonio entre un hombre y una mujer es la procreación y el mantener la institución de la familia, algo que no sucede en el caso de parejas homosexuales y que da lugar a un distinto tipo de familias, que cambian la concepción tradicional de padres, hijos y hogar.</w:t>
            </w:r>
          </w:p>
        </w:tc>
      </w:tr>
      <w:tr w:rsidR="003010BE" w:rsidRPr="00F11DC2" w:rsidTr="003010BE">
        <w:trPr>
          <w:trHeight w:val="365"/>
        </w:trPr>
        <w:tc>
          <w:tcPr>
            <w:tcW w:w="2500" w:type="pct"/>
            <w:shd w:val="clear" w:color="auto" w:fill="E7F7D1" w:themeFill="accent1" w:themeFillTint="33"/>
          </w:tcPr>
          <w:p w:rsidR="00B739D3" w:rsidRPr="00F11DC2" w:rsidRDefault="00B739D3">
            <w:pPr>
              <w:rPr>
                <w:rFonts w:ascii="Arial" w:hAnsi="Arial" w:cs="Arial"/>
              </w:rPr>
            </w:pPr>
            <w:r w:rsidRPr="00F11DC2">
              <w:rPr>
                <w:rFonts w:ascii="Arial" w:hAnsi="Arial" w:cs="Arial"/>
              </w:rPr>
              <w:t>ARGUMENTOS A FAVOR</w:t>
            </w:r>
          </w:p>
        </w:tc>
        <w:tc>
          <w:tcPr>
            <w:tcW w:w="2500" w:type="pct"/>
            <w:shd w:val="clear" w:color="auto" w:fill="E7F7D1" w:themeFill="accent1" w:themeFillTint="33"/>
          </w:tcPr>
          <w:p w:rsidR="00B739D3" w:rsidRPr="00F11DC2" w:rsidRDefault="00B739D3">
            <w:pPr>
              <w:rPr>
                <w:rFonts w:ascii="Arial" w:hAnsi="Arial" w:cs="Arial"/>
              </w:rPr>
            </w:pPr>
            <w:r w:rsidRPr="00F11DC2">
              <w:rPr>
                <w:rFonts w:ascii="Arial" w:hAnsi="Arial" w:cs="Arial"/>
              </w:rPr>
              <w:t>ARGUMENTOS EN CONTRA</w:t>
            </w:r>
          </w:p>
        </w:tc>
      </w:tr>
      <w:tr w:rsidR="003010BE" w:rsidRPr="00F11DC2" w:rsidTr="003010BE">
        <w:trPr>
          <w:trHeight w:val="3645"/>
        </w:trPr>
        <w:tc>
          <w:tcPr>
            <w:tcW w:w="2500" w:type="pct"/>
          </w:tcPr>
          <w:p w:rsidR="00B739D3" w:rsidRPr="00F11DC2" w:rsidRDefault="00B739D3">
            <w:pPr>
              <w:rPr>
                <w:rFonts w:ascii="Arial" w:hAnsi="Arial" w:cs="Arial"/>
              </w:rPr>
            </w:pP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Todas las personas tienen derecho a ser feliz y esto implica ser libres e iguales, también ante la ley. Las leyes deben ser para todos y no debe importar si alguien es heterosexual o no.</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La ley de adopción vigente no exige ser heterosexual para adoptar. Actualmente, muchas parejas homosexuales crían a sus hijos, adoptados -por uno de sus integrantes- o concebidos a través de métodos de fertilización asistida.</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Los niños y niñas hijos de gays y lesbianas deben tener los mismos derechos que los de las parejas heterosexuales. En la actualidad, el miembro de la pareja homosexual que no figura como adoptante no tiene vínculo hereditario ni puede hacerse cargo del niño en caso de fallecimiento del adoptante.</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La familia, al igual que toda otra institución, es un producto social sujeto a modificaciones. Las relaciones humanas están atravesadas por la cultura, por eso, las normas y leyes se modifican con el objetivo de acompañar los cambios culturales.</w:t>
            </w:r>
          </w:p>
          <w:p w:rsidR="00B739D3" w:rsidRPr="00F11DC2" w:rsidRDefault="003D2C9C" w:rsidP="00417DC4">
            <w:pPr>
              <w:pStyle w:val="NormalWeb"/>
              <w:numPr>
                <w:ilvl w:val="0"/>
                <w:numId w:val="3"/>
              </w:numPr>
              <w:rPr>
                <w:rFonts w:ascii="Arial" w:hAnsi="Arial" w:cs="Arial"/>
              </w:rPr>
            </w:pPr>
            <w:r w:rsidRPr="00417DC4">
              <w:rPr>
                <w:rFonts w:ascii="Arial" w:hAnsi="Arial" w:cs="Arial"/>
                <w:sz w:val="20"/>
                <w:szCs w:val="20"/>
              </w:rPr>
              <w:t>El matrimonio es civil y no un tema religioso. Cada religión evalúa para sí si lo acepta o no</w:t>
            </w:r>
            <w:r w:rsidRPr="00417DC4">
              <w:rPr>
                <w:rFonts w:ascii="Arial" w:hAnsi="Arial" w:cs="Arial"/>
              </w:rPr>
              <w:t>.</w:t>
            </w:r>
          </w:p>
        </w:tc>
        <w:tc>
          <w:tcPr>
            <w:tcW w:w="2500" w:type="pct"/>
          </w:tcPr>
          <w:p w:rsidR="00B739D3" w:rsidRPr="00F11DC2" w:rsidRDefault="00B739D3">
            <w:pPr>
              <w:rPr>
                <w:rFonts w:ascii="Arial" w:hAnsi="Arial" w:cs="Arial"/>
              </w:rPr>
            </w:pP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Sólo 7 países del mundo contemplan la figura del matrimonio para personas del mismo sexo. Además, los países en los que se incluye esta figura cuentan con regulaciones sobre fertilización asistida y un régimen de filiación abierto.</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Esta norma generaría un caos filiatorio en el Registro de Adopción (¿dos madres?, ¿dos padres?).</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Todo niño tiene derecho a un padre y una madre para su desarrollo integral como persona. Así, conceder la adopción a homosexuales sería perjudicial para el menor.</w:t>
            </w:r>
          </w:p>
          <w:p w:rsidR="003D2C9C" w:rsidRPr="003D2C9C" w:rsidRDefault="003D2C9C" w:rsidP="003D2C9C">
            <w:pPr>
              <w:pStyle w:val="NormalWeb"/>
              <w:numPr>
                <w:ilvl w:val="0"/>
                <w:numId w:val="3"/>
              </w:numPr>
              <w:rPr>
                <w:rFonts w:ascii="Arial" w:hAnsi="Arial" w:cs="Arial"/>
                <w:sz w:val="20"/>
                <w:szCs w:val="20"/>
              </w:rPr>
            </w:pPr>
            <w:r w:rsidRPr="003D2C9C">
              <w:rPr>
                <w:rFonts w:ascii="Arial" w:hAnsi="Arial" w:cs="Arial"/>
                <w:sz w:val="20"/>
                <w:szCs w:val="20"/>
              </w:rPr>
              <w:t>El matrimonio es una institución esencialmente heterosexual y esto implica desnaturalizar el concepto de matrimonio, lo que implica pervertir la “naturaleza” del mismo.</w:t>
            </w:r>
          </w:p>
          <w:p w:rsidR="00B061D3" w:rsidRPr="003D2C9C" w:rsidRDefault="00B061D3" w:rsidP="003D2C9C">
            <w:pPr>
              <w:pStyle w:val="Prrafodelista"/>
              <w:rPr>
                <w:rFonts w:ascii="Arial" w:hAnsi="Arial" w:cs="Arial"/>
                <w:lang w:val="es-ES"/>
              </w:rPr>
            </w:pPr>
          </w:p>
        </w:tc>
      </w:tr>
      <w:tr w:rsidR="003010BE" w:rsidRPr="00F11DC2" w:rsidTr="003010BE">
        <w:trPr>
          <w:trHeight w:val="365"/>
        </w:trPr>
        <w:tc>
          <w:tcPr>
            <w:tcW w:w="5000" w:type="pct"/>
            <w:gridSpan w:val="2"/>
            <w:shd w:val="clear" w:color="auto" w:fill="E7F7D1" w:themeFill="accent1" w:themeFillTint="33"/>
          </w:tcPr>
          <w:p w:rsidR="00B739D3" w:rsidRPr="00F11DC2" w:rsidRDefault="00B739D3">
            <w:pPr>
              <w:rPr>
                <w:rFonts w:ascii="Arial" w:hAnsi="Arial" w:cs="Arial"/>
              </w:rPr>
            </w:pPr>
            <w:r w:rsidRPr="00F11DC2">
              <w:rPr>
                <w:rFonts w:ascii="Arial" w:hAnsi="Arial" w:cs="Arial"/>
              </w:rPr>
              <w:lastRenderedPageBreak/>
              <w:t>FUENTES BIBLIOGRÁFICAS</w:t>
            </w:r>
          </w:p>
        </w:tc>
      </w:tr>
      <w:tr w:rsidR="003010BE" w:rsidRPr="00F11DC2" w:rsidTr="003010BE">
        <w:trPr>
          <w:trHeight w:val="4746"/>
        </w:trPr>
        <w:tc>
          <w:tcPr>
            <w:tcW w:w="5000" w:type="pct"/>
            <w:gridSpan w:val="2"/>
          </w:tcPr>
          <w:p w:rsidR="00417DC4" w:rsidRDefault="006C24CE">
            <w:hyperlink r:id="rId9" w:history="1">
              <w:r w:rsidR="00417DC4" w:rsidRPr="00651F06">
                <w:rPr>
                  <w:rStyle w:val="Hipervnculo"/>
                </w:rPr>
                <w:t>https://www.aciprensa.com/Familia/matri-homo.htm</w:t>
              </w:r>
            </w:hyperlink>
          </w:p>
          <w:p w:rsidR="00417DC4" w:rsidRDefault="006C24CE">
            <w:hyperlink r:id="rId10" w:history="1">
              <w:r w:rsidR="00417DC4" w:rsidRPr="00651F06">
                <w:rPr>
                  <w:rStyle w:val="Hipervnculo"/>
                </w:rPr>
                <w:t>http://www.rtve.es/noticias/20171207/solo-once-paises-del-mundo-esta-legalizado-matrimonio-homosexual/667560.shtml</w:t>
              </w:r>
            </w:hyperlink>
          </w:p>
          <w:p w:rsidR="00417DC4" w:rsidRDefault="006C24CE">
            <w:hyperlink r:id="rId11" w:history="1">
              <w:r w:rsidR="00417DC4" w:rsidRPr="00651F06">
                <w:rPr>
                  <w:rStyle w:val="Hipervnculo"/>
                </w:rPr>
                <w:t>https://elpais.com/especiales/2015/matrimonio-homosexual/</w:t>
              </w:r>
            </w:hyperlink>
          </w:p>
          <w:p w:rsidR="00417DC4" w:rsidRDefault="006C24CE">
            <w:hyperlink r:id="rId12" w:history="1">
              <w:r w:rsidR="00971B71" w:rsidRPr="00651F06">
                <w:rPr>
                  <w:rStyle w:val="Hipervnculo"/>
                </w:rPr>
                <w:t>http://www.liberalismo.org/articulo/294/53/derecho/matrimonio/homosexual/</w:t>
              </w:r>
            </w:hyperlink>
          </w:p>
          <w:p w:rsidR="00971B71" w:rsidRDefault="00971B71"/>
          <w:p w:rsidR="003010BE" w:rsidRPr="00F11DC2" w:rsidRDefault="003010BE" w:rsidP="00417DC4">
            <w:pPr>
              <w:rPr>
                <w:rFonts w:ascii="Arial" w:hAnsi="Arial" w:cs="Arial"/>
              </w:rPr>
            </w:pPr>
          </w:p>
        </w:tc>
      </w:tr>
    </w:tbl>
    <w:p w:rsidR="00C54F49" w:rsidRPr="00F11DC2" w:rsidRDefault="00C54F49">
      <w:pPr>
        <w:rPr>
          <w:rFonts w:ascii="Arial" w:hAnsi="Arial" w:cs="Arial"/>
        </w:rPr>
      </w:pPr>
    </w:p>
    <w:p w:rsidR="00B061D3" w:rsidRPr="00F11DC2" w:rsidRDefault="00B061D3" w:rsidP="00B061D3">
      <w:pPr>
        <w:jc w:val="right"/>
        <w:rPr>
          <w:rFonts w:ascii="Arial" w:hAnsi="Arial" w:cs="Arial"/>
        </w:rPr>
      </w:pPr>
    </w:p>
    <w:p w:rsidR="00B061D3" w:rsidRPr="00F11DC2" w:rsidRDefault="00B061D3">
      <w:pPr>
        <w:rPr>
          <w:rFonts w:ascii="Arial" w:hAnsi="Arial" w:cs="Arial"/>
        </w:rPr>
      </w:pPr>
    </w:p>
    <w:p w:rsidR="00B061D3" w:rsidRPr="00F11DC2" w:rsidRDefault="00B061D3">
      <w:pPr>
        <w:rPr>
          <w:rFonts w:ascii="Arial" w:hAnsi="Arial" w:cs="Arial"/>
        </w:rPr>
      </w:pPr>
    </w:p>
    <w:p w:rsidR="00B061D3" w:rsidRPr="00F11DC2" w:rsidRDefault="00B061D3">
      <w:pPr>
        <w:rPr>
          <w:rFonts w:ascii="Arial" w:hAnsi="Arial" w:cs="Arial"/>
        </w:rPr>
      </w:pPr>
    </w:p>
    <w:sectPr w:rsidR="00B061D3" w:rsidRPr="00F11DC2" w:rsidSect="00B061D3">
      <w:headerReference w:type="default" r:id="rId13"/>
      <w:pgSz w:w="11900" w:h="16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A1" w:rsidRDefault="00F761A1" w:rsidP="00B061D3">
      <w:r>
        <w:separator/>
      </w:r>
    </w:p>
  </w:endnote>
  <w:endnote w:type="continuationSeparator" w:id="1">
    <w:p w:rsidR="00F761A1" w:rsidRDefault="00F761A1" w:rsidP="00B0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A1" w:rsidRDefault="00F761A1" w:rsidP="00B061D3">
      <w:r>
        <w:separator/>
      </w:r>
    </w:p>
  </w:footnote>
  <w:footnote w:type="continuationSeparator" w:id="1">
    <w:p w:rsidR="00F761A1" w:rsidRDefault="00F761A1" w:rsidP="00B06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E8" w:rsidRPr="00F11DC2" w:rsidRDefault="009C7BE8" w:rsidP="00B061D3">
    <w:pPr>
      <w:pStyle w:val="Encabezado"/>
      <w:jc w:val="right"/>
      <w:rPr>
        <w:rFonts w:ascii="Arial" w:hAnsi="Arial" w:cs="Arial"/>
        <w:sz w:val="22"/>
      </w:rPr>
    </w:pPr>
    <w:r w:rsidRPr="00F11DC2">
      <w:rPr>
        <w:rFonts w:ascii="Arial" w:hAnsi="Arial" w:cs="Arial"/>
        <w:sz w:val="22"/>
      </w:rPr>
      <w:t>FICHAS DE TRABAJO PARA DEBATE ACADÉMICO</w:t>
    </w:r>
  </w:p>
  <w:p w:rsidR="009C7BE8" w:rsidRPr="00F11DC2" w:rsidRDefault="009C7BE8" w:rsidP="00B061D3">
    <w:pPr>
      <w:pStyle w:val="Encabezado"/>
      <w:jc w:val="right"/>
      <w:rPr>
        <w:rFonts w:ascii="Arial" w:hAnsi="Arial" w:cs="Arial"/>
        <w:sz w:val="22"/>
      </w:rPr>
    </w:pPr>
    <w:r w:rsidRPr="00F11DC2">
      <w:rPr>
        <w:rFonts w:ascii="Arial" w:hAnsi="Arial" w:cs="Arial"/>
        <w:sz w:val="22"/>
      </w:rPr>
      <w:t xml:space="preserve">IES MAR SERENA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2E3"/>
    <w:multiLevelType w:val="hybridMultilevel"/>
    <w:tmpl w:val="2BCA2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4D2D11"/>
    <w:multiLevelType w:val="hybridMultilevel"/>
    <w:tmpl w:val="28187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571F22"/>
    <w:multiLevelType w:val="hybridMultilevel"/>
    <w:tmpl w:val="0336924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AA6ACB"/>
    <w:multiLevelType w:val="hybridMultilevel"/>
    <w:tmpl w:val="8710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useFELayout/>
  </w:compat>
  <w:rsids>
    <w:rsidRoot w:val="00B739D3"/>
    <w:rsid w:val="00197401"/>
    <w:rsid w:val="003010BE"/>
    <w:rsid w:val="0038110F"/>
    <w:rsid w:val="003D2C9C"/>
    <w:rsid w:val="00417DC4"/>
    <w:rsid w:val="004E3F57"/>
    <w:rsid w:val="004F4A46"/>
    <w:rsid w:val="006C24CE"/>
    <w:rsid w:val="007378FA"/>
    <w:rsid w:val="008405BB"/>
    <w:rsid w:val="0088054C"/>
    <w:rsid w:val="00971B71"/>
    <w:rsid w:val="009C7BE8"/>
    <w:rsid w:val="00B061D3"/>
    <w:rsid w:val="00B739D3"/>
    <w:rsid w:val="00C54F49"/>
    <w:rsid w:val="00C625F1"/>
    <w:rsid w:val="00CC3223"/>
    <w:rsid w:val="00D56C27"/>
    <w:rsid w:val="00D7266D"/>
    <w:rsid w:val="00DC450C"/>
    <w:rsid w:val="00F03305"/>
    <w:rsid w:val="00F11DC2"/>
    <w:rsid w:val="00F761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customStyle="1" w:styleId="Sombreadoclaro-nfasis11">
    <w:name w:val="Sombreado claro - Énfasis 1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 w:type="paragraph" w:styleId="NormalWeb">
    <w:name w:val="Normal (Web)"/>
    <w:basedOn w:val="Normal"/>
    <w:uiPriority w:val="99"/>
    <w:unhideWhenUsed/>
    <w:rsid w:val="003D2C9C"/>
    <w:pPr>
      <w:spacing w:before="100" w:beforeAutospacing="1" w:after="100" w:afterAutospacing="1"/>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styleId="Sombreadoclaro-nfasis1">
    <w:name w:val="Light Shading Accent 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s>
</file>

<file path=word/webSettings.xml><?xml version="1.0" encoding="utf-8"?>
<w:webSettings xmlns:r="http://schemas.openxmlformats.org/officeDocument/2006/relationships" xmlns:w="http://schemas.openxmlformats.org/wordprocessingml/2006/main">
  <w:divs>
    <w:div w:id="273900195">
      <w:bodyDiv w:val="1"/>
      <w:marLeft w:val="0"/>
      <w:marRight w:val="0"/>
      <w:marTop w:val="0"/>
      <w:marBottom w:val="0"/>
      <w:divBdr>
        <w:top w:val="none" w:sz="0" w:space="0" w:color="auto"/>
        <w:left w:val="none" w:sz="0" w:space="0" w:color="auto"/>
        <w:bottom w:val="none" w:sz="0" w:space="0" w:color="auto"/>
        <w:right w:val="none" w:sz="0" w:space="0" w:color="auto"/>
      </w:divBdr>
    </w:div>
    <w:div w:id="564074529">
      <w:bodyDiv w:val="1"/>
      <w:marLeft w:val="0"/>
      <w:marRight w:val="0"/>
      <w:marTop w:val="0"/>
      <w:marBottom w:val="0"/>
      <w:divBdr>
        <w:top w:val="none" w:sz="0" w:space="0" w:color="auto"/>
        <w:left w:val="none" w:sz="0" w:space="0" w:color="auto"/>
        <w:bottom w:val="none" w:sz="0" w:space="0" w:color="auto"/>
        <w:right w:val="none" w:sz="0" w:space="0" w:color="auto"/>
      </w:divBdr>
    </w:div>
    <w:div w:id="737442586">
      <w:bodyDiv w:val="1"/>
      <w:marLeft w:val="0"/>
      <w:marRight w:val="0"/>
      <w:marTop w:val="0"/>
      <w:marBottom w:val="0"/>
      <w:divBdr>
        <w:top w:val="none" w:sz="0" w:space="0" w:color="auto"/>
        <w:left w:val="none" w:sz="0" w:space="0" w:color="auto"/>
        <w:bottom w:val="none" w:sz="0" w:space="0" w:color="auto"/>
        <w:right w:val="none" w:sz="0" w:space="0" w:color="auto"/>
      </w:divBdr>
    </w:div>
    <w:div w:id="1121458066">
      <w:bodyDiv w:val="1"/>
      <w:marLeft w:val="0"/>
      <w:marRight w:val="0"/>
      <w:marTop w:val="0"/>
      <w:marBottom w:val="0"/>
      <w:divBdr>
        <w:top w:val="none" w:sz="0" w:space="0" w:color="auto"/>
        <w:left w:val="none" w:sz="0" w:space="0" w:color="auto"/>
        <w:bottom w:val="none" w:sz="0" w:space="0" w:color="auto"/>
        <w:right w:val="none" w:sz="0" w:space="0" w:color="auto"/>
      </w:divBdr>
    </w:div>
    <w:div w:id="1263220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beralismo.org/articulo/294/53/derecho/matrimonio/homosex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speciales/2015/matrimonio-homosex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ve.es/noticias/20171207/solo-once-paises-del-mundo-esta-legalizado-matrimonio-homosexual/667560.shtml" TargetMode="External"/><Relationship Id="rId4" Type="http://schemas.openxmlformats.org/officeDocument/2006/relationships/settings" Target="settings.xml"/><Relationship Id="rId9" Type="http://schemas.openxmlformats.org/officeDocument/2006/relationships/hyperlink" Target="https://www.aciprensa.com/Familia/matri-homo.htm" TargetMode="External"/><Relationship Id="rId14" Type="http://schemas.openxmlformats.org/officeDocument/2006/relationships/fontTable" Target="fontTable.xm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C003-FA78-5D47-9CAC-DBE14B46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Lafuente</dc:creator>
  <cp:lastModifiedBy>direccion</cp:lastModifiedBy>
  <cp:revision>2</cp:revision>
  <dcterms:created xsi:type="dcterms:W3CDTF">2018-04-09T12:03:00Z</dcterms:created>
  <dcterms:modified xsi:type="dcterms:W3CDTF">2018-04-09T12:03:00Z</dcterms:modified>
</cp:coreProperties>
</file>