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AD3" w:rsidRPr="00351AD3" w:rsidRDefault="00351AD3" w:rsidP="00CB229B">
      <w:pPr>
        <w:shd w:val="clear" w:color="auto" w:fill="FFFFFF"/>
        <w:spacing w:before="48" w:after="96" w:line="240" w:lineRule="auto"/>
        <w:jc w:val="right"/>
        <w:outlineLvl w:val="0"/>
        <w:rPr>
          <w:rFonts w:ascii="Verdana" w:eastAsia="Times New Roman" w:hAnsi="Verdana" w:cs="Times New Roman"/>
          <w:color w:val="1D7474"/>
          <w:kern w:val="36"/>
          <w:sz w:val="31"/>
          <w:szCs w:val="31"/>
          <w:lang w:eastAsia="es-ES"/>
        </w:rPr>
      </w:pPr>
      <w:r w:rsidRPr="00CB229B">
        <w:rPr>
          <w:rStyle w:val="TtuloCar"/>
          <w:b/>
        </w:rPr>
        <w:t>Definición de la Competencia para Aprender a aprender</w:t>
      </w:r>
      <w:r>
        <w:rPr>
          <w:rFonts w:ascii="Verdana" w:eastAsia="Times New Roman" w:hAnsi="Verdana" w:cs="Times New Roman"/>
          <w:color w:val="1D7474"/>
          <w:kern w:val="36"/>
          <w:sz w:val="31"/>
          <w:szCs w:val="31"/>
          <w:lang w:eastAsia="es-ES"/>
        </w:rPr>
        <w:t xml:space="preserve"> </w:t>
      </w:r>
      <w:r w:rsidRPr="00CB229B">
        <w:rPr>
          <w:rFonts w:ascii="Verdana" w:eastAsia="Times New Roman" w:hAnsi="Verdana" w:cs="Times New Roman"/>
          <w:color w:val="1D7474"/>
          <w:kern w:val="36"/>
          <w:sz w:val="24"/>
          <w:szCs w:val="31"/>
          <w:lang w:eastAsia="es-ES"/>
        </w:rPr>
        <w:t>(fuente MEC</w:t>
      </w:r>
      <w:r w:rsidR="007F0B30" w:rsidRPr="00CB229B">
        <w:rPr>
          <w:rFonts w:ascii="Verdana" w:eastAsia="Times New Roman" w:hAnsi="Verdana" w:cs="Times New Roman"/>
          <w:color w:val="1D7474"/>
          <w:kern w:val="36"/>
          <w:sz w:val="24"/>
          <w:szCs w:val="31"/>
          <w:lang w:eastAsia="es-ES"/>
        </w:rPr>
        <w:t>D</w:t>
      </w:r>
      <w:r w:rsidRPr="00CB229B">
        <w:rPr>
          <w:rFonts w:ascii="Verdana" w:eastAsia="Times New Roman" w:hAnsi="Verdana" w:cs="Times New Roman"/>
          <w:color w:val="1D7474"/>
          <w:kern w:val="36"/>
          <w:sz w:val="24"/>
          <w:szCs w:val="31"/>
          <w:lang w:eastAsia="es-ES"/>
        </w:rPr>
        <w:t>)</w:t>
      </w:r>
    </w:p>
    <w:p w:rsidR="00351AD3" w:rsidRPr="00351AD3" w:rsidRDefault="00292F19" w:rsidP="00351AD3">
      <w:pPr>
        <w:shd w:val="clear" w:color="auto" w:fill="FFFFFF"/>
        <w:spacing w:after="120" w:line="240" w:lineRule="auto"/>
        <w:rPr>
          <w:rFonts w:ascii="Arial" w:eastAsia="Times New Roman" w:hAnsi="Arial" w:cs="Arial"/>
          <w:color w:val="000000"/>
          <w:sz w:val="27"/>
          <w:szCs w:val="27"/>
          <w:lang w:eastAsia="es-ES"/>
        </w:rPr>
      </w:pPr>
      <w:hyperlink r:id="rId6" w:tgtFrame="_blank" w:tooltip="Enlace externo, se abre en ventana nueva." w:history="1">
        <w:r w:rsidR="00351AD3" w:rsidRPr="00351AD3">
          <w:rPr>
            <w:rFonts w:ascii="Arial" w:eastAsia="Times New Roman" w:hAnsi="Arial" w:cs="Arial"/>
            <w:color w:val="FFFFFF"/>
            <w:sz w:val="27"/>
            <w:u w:val="single"/>
            <w:lang w:eastAsia="es-ES"/>
          </w:rPr>
          <w:t xml:space="preserve">Enlace </w:t>
        </w:r>
        <w:proofErr w:type="spellStart"/>
        <w:r w:rsidR="00351AD3" w:rsidRPr="00351AD3">
          <w:rPr>
            <w:rFonts w:ascii="Arial" w:eastAsia="Times New Roman" w:hAnsi="Arial" w:cs="Arial"/>
            <w:color w:val="FFFFFF"/>
            <w:sz w:val="27"/>
            <w:u w:val="single"/>
            <w:lang w:eastAsia="es-ES"/>
          </w:rPr>
          <w:t>exter</w:t>
        </w:r>
        <w:proofErr w:type="spellEnd"/>
        <w:r w:rsidR="00C16385" w:rsidRPr="00C16385">
          <w:rPr>
            <w:rFonts w:ascii="Arial" w:eastAsia="Times New Roman" w:hAnsi="Arial" w:cs="Arial"/>
            <w:noProof/>
            <w:color w:val="FFFFFF"/>
            <w:sz w:val="27"/>
            <w:u w:val="single"/>
            <w:lang w:eastAsia="es-ES"/>
          </w:rPr>
          <w:drawing>
            <wp:inline distT="0" distB="0" distL="0" distR="0">
              <wp:extent cx="5657850" cy="7324725"/>
              <wp:effectExtent l="19050" t="0" r="0" b="0"/>
              <wp:docPr id="3" name="Imagen 1" descr="Imagen">
                <a:hlinkClick xmlns:a="http://schemas.openxmlformats.org/drawingml/2006/main" r:id="rId6" tgtFrame="&quot;_blank&quot;" tooltip="&quot;Enlace externo, se abre en ventana nuev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a:hlinkClick r:id="rId6" tgtFrame="&quot;_blank&quot;" tooltip="&quot;Enlace externo, se abre en ventana nueva.&quot;"/>
                      </pic:cNvPr>
                      <pic:cNvPicPr>
                        <a:picLocks noChangeAspect="1" noChangeArrowheads="1"/>
                      </pic:cNvPicPr>
                    </pic:nvPicPr>
                    <pic:blipFill>
                      <a:blip r:embed="rId7"/>
                      <a:srcRect/>
                      <a:stretch>
                        <a:fillRect/>
                      </a:stretch>
                    </pic:blipFill>
                    <pic:spPr bwMode="auto">
                      <a:xfrm>
                        <a:off x="0" y="0"/>
                        <a:ext cx="5657850" cy="7324725"/>
                      </a:xfrm>
                      <a:prstGeom prst="rect">
                        <a:avLst/>
                      </a:prstGeom>
                      <a:noFill/>
                      <a:ln w="9525">
                        <a:noFill/>
                        <a:miter lim="800000"/>
                        <a:headEnd/>
                        <a:tailEnd/>
                      </a:ln>
                    </pic:spPr>
                  </pic:pic>
                </a:graphicData>
              </a:graphic>
            </wp:inline>
          </w:drawing>
        </w:r>
        <w:r w:rsidR="00351AD3" w:rsidRPr="00351AD3">
          <w:rPr>
            <w:rFonts w:ascii="Arial" w:eastAsia="Times New Roman" w:hAnsi="Arial" w:cs="Arial"/>
            <w:color w:val="FFFFFF"/>
            <w:sz w:val="27"/>
            <w:u w:val="single"/>
            <w:lang w:eastAsia="es-ES"/>
          </w:rPr>
          <w:t>no, se abre en ventana nueva</w:t>
        </w:r>
      </w:hyperlink>
    </w:p>
    <w:p w:rsidR="00351AD3" w:rsidRPr="00CB229B" w:rsidRDefault="008634D5" w:rsidP="00351AD3">
      <w:pPr>
        <w:shd w:val="clear" w:color="auto" w:fill="FFFFFF"/>
        <w:spacing w:before="120" w:after="100" w:afterAutospacing="1" w:line="240" w:lineRule="auto"/>
        <w:rPr>
          <w:rFonts w:ascii="Arial" w:eastAsia="Times New Roman" w:hAnsi="Arial" w:cs="Arial"/>
          <w:color w:val="000000"/>
          <w:sz w:val="24"/>
          <w:szCs w:val="24"/>
          <w:lang w:eastAsia="es-ES"/>
        </w:rPr>
      </w:pPr>
      <w:r w:rsidRPr="00CB229B">
        <w:rPr>
          <w:rFonts w:ascii="Arial" w:eastAsia="Times New Roman" w:hAnsi="Arial" w:cs="Arial"/>
          <w:color w:val="000000"/>
          <w:sz w:val="24"/>
          <w:szCs w:val="24"/>
          <w:lang w:eastAsia="es-ES"/>
        </w:rPr>
        <w:lastRenderedPageBreak/>
        <w:t>La competencia para Aprender a  Aprender es f</w:t>
      </w:r>
      <w:r w:rsidR="00351AD3" w:rsidRPr="00CB229B">
        <w:rPr>
          <w:rFonts w:ascii="Arial" w:eastAsia="Times New Roman" w:hAnsi="Arial" w:cs="Arial"/>
          <w:color w:val="000000"/>
          <w:sz w:val="24"/>
          <w:szCs w:val="24"/>
          <w:lang w:eastAsia="es-ES"/>
        </w:rPr>
        <w:t>undamental para el aprendizaje permanente que se produce a lo largo de la vida y que tiene lugar en distintos contextos formales, no formales e informales. Supone la habilidad para iniciar, organizar y persistir en el aprendizaje.</w:t>
      </w:r>
    </w:p>
    <w:p w:rsidR="00351AD3" w:rsidRPr="00CB229B" w:rsidRDefault="00351AD3" w:rsidP="00351AD3">
      <w:pPr>
        <w:shd w:val="clear" w:color="auto" w:fill="FFFFFF"/>
        <w:spacing w:before="120" w:after="100" w:afterAutospacing="1" w:line="240" w:lineRule="auto"/>
        <w:rPr>
          <w:rFonts w:ascii="Arial" w:eastAsia="Times New Roman" w:hAnsi="Arial" w:cs="Arial"/>
          <w:color w:val="000000"/>
          <w:sz w:val="24"/>
          <w:szCs w:val="24"/>
          <w:lang w:eastAsia="es-ES"/>
        </w:rPr>
      </w:pPr>
      <w:r w:rsidRPr="00CB229B">
        <w:rPr>
          <w:rFonts w:ascii="Arial" w:eastAsia="Times New Roman" w:hAnsi="Arial" w:cs="Arial"/>
          <w:color w:val="000000"/>
          <w:sz w:val="24"/>
          <w:szCs w:val="24"/>
          <w:lang w:eastAsia="es-ES"/>
        </w:rPr>
        <w:t>En cuanto a la organización y gestión del aprendizaje, </w:t>
      </w:r>
      <w:r w:rsidRPr="00CB229B">
        <w:rPr>
          <w:rFonts w:ascii="Arial" w:eastAsia="Times New Roman" w:hAnsi="Arial" w:cs="Arial"/>
          <w:b/>
          <w:bCs/>
          <w:color w:val="000000"/>
          <w:sz w:val="24"/>
          <w:szCs w:val="24"/>
          <w:lang w:eastAsia="es-ES"/>
        </w:rPr>
        <w:t>la competencia para aprender a aprender (CPAA)</w:t>
      </w:r>
      <w:r w:rsidR="008634D5" w:rsidRPr="00CB229B">
        <w:rPr>
          <w:rFonts w:ascii="Arial" w:eastAsia="Times New Roman" w:hAnsi="Arial" w:cs="Arial"/>
          <w:b/>
          <w:bCs/>
          <w:color w:val="000000"/>
          <w:sz w:val="24"/>
          <w:szCs w:val="24"/>
          <w:lang w:eastAsia="es-ES"/>
        </w:rPr>
        <w:t xml:space="preserve"> </w:t>
      </w:r>
      <w:r w:rsidRPr="00CB229B">
        <w:rPr>
          <w:rFonts w:ascii="Arial" w:eastAsia="Times New Roman" w:hAnsi="Arial" w:cs="Arial"/>
          <w:color w:val="000000"/>
          <w:sz w:val="24"/>
          <w:szCs w:val="24"/>
          <w:lang w:eastAsia="es-ES"/>
        </w:rPr>
        <w:t>requiere conocer y controlar los propios procesos de aprendizaje para ajustarlos a los tiempos y las demandas de las tareas y actividades que conducen al aprendizaje. La competencia de aprender a aprender desemboca en un aprendizaje cada vez más eficaz y autónomo.</w:t>
      </w:r>
    </w:p>
    <w:p w:rsidR="00351AD3" w:rsidRPr="00CB229B" w:rsidRDefault="00351AD3" w:rsidP="00351AD3">
      <w:pPr>
        <w:shd w:val="clear" w:color="auto" w:fill="FFFFFF"/>
        <w:spacing w:before="120" w:after="100" w:afterAutospacing="1" w:line="240" w:lineRule="auto"/>
        <w:rPr>
          <w:rFonts w:ascii="Arial" w:eastAsia="Times New Roman" w:hAnsi="Arial" w:cs="Arial"/>
          <w:color w:val="000000"/>
          <w:sz w:val="24"/>
          <w:szCs w:val="24"/>
          <w:lang w:eastAsia="es-ES"/>
        </w:rPr>
      </w:pPr>
      <w:r w:rsidRPr="00CB229B">
        <w:rPr>
          <w:rFonts w:ascii="Arial" w:eastAsia="Times New Roman" w:hAnsi="Arial" w:cs="Arial"/>
          <w:color w:val="000000"/>
          <w:sz w:val="24"/>
          <w:szCs w:val="24"/>
          <w:lang w:eastAsia="es-ES"/>
        </w:rPr>
        <w:t>Esta competencia incluye una serie de destrezas que requieren la reflexión y la toma de conciencia de los propios procesos de aprendizaje. Así, los procesos de conocimiento se convierten en objeto del conocimiento y, además, hay que aprender a ejecutarlos adecuadamente.</w:t>
      </w:r>
    </w:p>
    <w:p w:rsidR="00351AD3" w:rsidRPr="00CB229B" w:rsidRDefault="00351AD3" w:rsidP="00351AD3">
      <w:pPr>
        <w:shd w:val="clear" w:color="auto" w:fill="FFFFFF"/>
        <w:spacing w:before="120" w:after="100" w:afterAutospacing="1" w:line="240" w:lineRule="auto"/>
        <w:rPr>
          <w:rFonts w:ascii="Arial" w:eastAsia="Times New Roman" w:hAnsi="Arial" w:cs="Arial"/>
          <w:color w:val="000000"/>
          <w:sz w:val="24"/>
          <w:szCs w:val="24"/>
          <w:lang w:eastAsia="es-ES"/>
        </w:rPr>
      </w:pPr>
      <w:r w:rsidRPr="00CB229B">
        <w:rPr>
          <w:rFonts w:ascii="Arial" w:eastAsia="Times New Roman" w:hAnsi="Arial" w:cs="Arial"/>
          <w:color w:val="000000"/>
          <w:sz w:val="24"/>
          <w:szCs w:val="24"/>
          <w:lang w:eastAsia="es-ES"/>
        </w:rPr>
        <w:t>Aprender a aprender incluye conocimientos sobre los procesos mentales implicados en el aprendizaje (cómo se aprende). Además, esta competencia incorpora el conocimiento que posee el estudiante sobre su propio proceso de aprendizaje que se desarrolla en tres dimensiones:</w:t>
      </w:r>
    </w:p>
    <w:p w:rsidR="00351AD3" w:rsidRPr="00CB229B" w:rsidRDefault="00351AD3" w:rsidP="00351AD3">
      <w:pPr>
        <w:numPr>
          <w:ilvl w:val="0"/>
          <w:numId w:val="1"/>
        </w:numPr>
        <w:shd w:val="clear" w:color="auto" w:fill="FFFFFF"/>
        <w:spacing w:before="96" w:after="96" w:line="240" w:lineRule="auto"/>
        <w:ind w:left="192" w:right="192"/>
        <w:rPr>
          <w:rFonts w:ascii="Arial" w:eastAsia="Times New Roman" w:hAnsi="Arial" w:cs="Arial"/>
          <w:b/>
          <w:color w:val="000000"/>
          <w:sz w:val="24"/>
          <w:szCs w:val="24"/>
          <w:lang w:eastAsia="es-ES"/>
        </w:rPr>
      </w:pPr>
      <w:r w:rsidRPr="00CB229B">
        <w:rPr>
          <w:rFonts w:ascii="Arial" w:eastAsia="Times New Roman" w:hAnsi="Arial" w:cs="Arial"/>
          <w:b/>
          <w:color w:val="000000"/>
          <w:sz w:val="24"/>
          <w:szCs w:val="24"/>
          <w:lang w:eastAsia="es-ES"/>
        </w:rPr>
        <w:t>El conocimiento que tiene acerca de lo que sabe y desconoce, de lo que es capaz de aprender, de lo que le interesa, etcétera.</w:t>
      </w:r>
    </w:p>
    <w:p w:rsidR="00351AD3" w:rsidRPr="00CB229B" w:rsidRDefault="00351AD3" w:rsidP="00351AD3">
      <w:pPr>
        <w:numPr>
          <w:ilvl w:val="0"/>
          <w:numId w:val="1"/>
        </w:numPr>
        <w:shd w:val="clear" w:color="auto" w:fill="FFFFFF"/>
        <w:spacing w:before="96" w:after="96" w:line="240" w:lineRule="auto"/>
        <w:ind w:left="192" w:right="192"/>
        <w:rPr>
          <w:rFonts w:ascii="Arial" w:eastAsia="Times New Roman" w:hAnsi="Arial" w:cs="Arial"/>
          <w:b/>
          <w:color w:val="000000"/>
          <w:sz w:val="24"/>
          <w:szCs w:val="24"/>
          <w:lang w:eastAsia="es-ES"/>
        </w:rPr>
      </w:pPr>
      <w:r w:rsidRPr="00CB229B">
        <w:rPr>
          <w:rFonts w:ascii="Arial" w:eastAsia="Times New Roman" w:hAnsi="Arial" w:cs="Arial"/>
          <w:b/>
          <w:color w:val="000000"/>
          <w:sz w:val="24"/>
          <w:szCs w:val="24"/>
          <w:lang w:eastAsia="es-ES"/>
        </w:rPr>
        <w:t>El conocimiento de la disciplina en la que se localiza la tarea de aprendizaje y el conocimiento del contenido concreto y de las demandas de la tarea misma;</w:t>
      </w:r>
    </w:p>
    <w:p w:rsidR="00351AD3" w:rsidRPr="00CB229B" w:rsidRDefault="00351AD3" w:rsidP="00351AD3">
      <w:pPr>
        <w:numPr>
          <w:ilvl w:val="0"/>
          <w:numId w:val="1"/>
        </w:numPr>
        <w:shd w:val="clear" w:color="auto" w:fill="FFFFFF"/>
        <w:spacing w:before="96" w:after="96" w:line="240" w:lineRule="auto"/>
        <w:ind w:left="192" w:right="192"/>
        <w:rPr>
          <w:rFonts w:ascii="Arial" w:eastAsia="Times New Roman" w:hAnsi="Arial" w:cs="Arial"/>
          <w:b/>
          <w:color w:val="000000"/>
          <w:sz w:val="24"/>
          <w:szCs w:val="24"/>
          <w:lang w:eastAsia="es-ES"/>
        </w:rPr>
      </w:pPr>
      <w:r w:rsidRPr="00CB229B">
        <w:rPr>
          <w:rFonts w:ascii="Arial" w:eastAsia="Times New Roman" w:hAnsi="Arial" w:cs="Arial"/>
          <w:b/>
          <w:color w:val="000000"/>
          <w:sz w:val="24"/>
          <w:szCs w:val="24"/>
          <w:lang w:eastAsia="es-ES"/>
        </w:rPr>
        <w:t>El conocimiento sobre las distintas estrategias posibles para afrontar la tarea.</w:t>
      </w:r>
    </w:p>
    <w:p w:rsidR="00351AD3" w:rsidRPr="00CB229B" w:rsidRDefault="00351AD3" w:rsidP="00351AD3">
      <w:pPr>
        <w:shd w:val="clear" w:color="auto" w:fill="FFFFFF"/>
        <w:spacing w:before="120" w:after="100" w:afterAutospacing="1" w:line="240" w:lineRule="auto"/>
        <w:rPr>
          <w:rFonts w:ascii="Arial" w:eastAsia="Times New Roman" w:hAnsi="Arial" w:cs="Arial"/>
          <w:color w:val="000000"/>
          <w:sz w:val="24"/>
          <w:szCs w:val="24"/>
          <w:lang w:eastAsia="es-ES"/>
        </w:rPr>
      </w:pPr>
      <w:r w:rsidRPr="00CB229B">
        <w:rPr>
          <w:rFonts w:ascii="Arial" w:eastAsia="Times New Roman" w:hAnsi="Arial" w:cs="Arial"/>
          <w:color w:val="000000"/>
          <w:sz w:val="24"/>
          <w:szCs w:val="24"/>
          <w:lang w:eastAsia="es-ES"/>
        </w:rPr>
        <w:t>Respecto a las actitudes y valores, la motivación y la confianza son cruciales para la adquisición de esta competencia. Ambas se potencian desde el planteamiento de metas realistas a corto, medio y largo plazo. Al alcanzarse las metas aumenta la percepción de auto-eficacia y la confianza, y con ello se elevan los objetivos de aprendizaje de forma progresiva. Las personas deben ser capaces de apoyarse en experiencias vitales y de aprendizaje previas con el fin de utilizar y aplicar los nuevos conocimientos y capacidades en otros contextos, como los de la vida privada y profesional, la educación y la formación.</w:t>
      </w:r>
    </w:p>
    <w:p w:rsidR="008634D5" w:rsidRPr="00CB229B" w:rsidRDefault="008634D5" w:rsidP="00351AD3">
      <w:pPr>
        <w:pStyle w:val="Ttulo1"/>
        <w:pBdr>
          <w:bottom w:val="single" w:sz="6" w:space="8" w:color="E1E1E1"/>
        </w:pBdr>
        <w:shd w:val="clear" w:color="auto" w:fill="FFFFFF"/>
        <w:spacing w:before="0" w:beforeAutospacing="0" w:after="150" w:afterAutospacing="0"/>
        <w:rPr>
          <w:rFonts w:ascii="Arial" w:hAnsi="Arial" w:cs="Arial"/>
          <w:b w:val="0"/>
          <w:bCs w:val="0"/>
          <w:color w:val="054F8F"/>
          <w:sz w:val="24"/>
          <w:szCs w:val="24"/>
        </w:rPr>
      </w:pPr>
    </w:p>
    <w:p w:rsidR="008634D5" w:rsidRPr="00CB229B" w:rsidRDefault="008634D5" w:rsidP="00351AD3">
      <w:pPr>
        <w:pStyle w:val="Ttulo1"/>
        <w:pBdr>
          <w:bottom w:val="single" w:sz="6" w:space="8" w:color="E1E1E1"/>
        </w:pBdr>
        <w:shd w:val="clear" w:color="auto" w:fill="FFFFFF"/>
        <w:spacing w:before="0" w:beforeAutospacing="0" w:after="150" w:afterAutospacing="0"/>
        <w:rPr>
          <w:rFonts w:ascii="Arial" w:hAnsi="Arial" w:cs="Arial"/>
          <w:b w:val="0"/>
          <w:bCs w:val="0"/>
          <w:color w:val="054F8F"/>
          <w:sz w:val="24"/>
          <w:szCs w:val="24"/>
        </w:rPr>
      </w:pPr>
      <w:bookmarkStart w:id="0" w:name="_GoBack"/>
      <w:bookmarkEnd w:id="0"/>
    </w:p>
    <w:sectPr w:rsidR="008634D5" w:rsidRPr="00CB229B" w:rsidSect="001F0A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A7EDB"/>
    <w:multiLevelType w:val="multilevel"/>
    <w:tmpl w:val="D1AC5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9B052E"/>
    <w:multiLevelType w:val="multilevel"/>
    <w:tmpl w:val="EE108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0E6483"/>
    <w:multiLevelType w:val="multilevel"/>
    <w:tmpl w:val="7284B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BA795F"/>
    <w:multiLevelType w:val="multilevel"/>
    <w:tmpl w:val="F2CC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51AD3"/>
    <w:rsid w:val="001F0A79"/>
    <w:rsid w:val="00266E32"/>
    <w:rsid w:val="00292F19"/>
    <w:rsid w:val="002D048E"/>
    <w:rsid w:val="00351AD3"/>
    <w:rsid w:val="003C6393"/>
    <w:rsid w:val="00434CD2"/>
    <w:rsid w:val="00523C57"/>
    <w:rsid w:val="00577E12"/>
    <w:rsid w:val="007F0B30"/>
    <w:rsid w:val="008634D5"/>
    <w:rsid w:val="009916E6"/>
    <w:rsid w:val="009F6CBB"/>
    <w:rsid w:val="00C16385"/>
    <w:rsid w:val="00CB229B"/>
    <w:rsid w:val="00D30D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A79"/>
  </w:style>
  <w:style w:type="paragraph" w:styleId="Ttulo1">
    <w:name w:val="heading 1"/>
    <w:basedOn w:val="Normal"/>
    <w:link w:val="Ttulo1Car"/>
    <w:uiPriority w:val="9"/>
    <w:qFormat/>
    <w:rsid w:val="00351A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4">
    <w:name w:val="heading 4"/>
    <w:basedOn w:val="Normal"/>
    <w:next w:val="Normal"/>
    <w:link w:val="Ttulo4Car"/>
    <w:uiPriority w:val="9"/>
    <w:semiHidden/>
    <w:unhideWhenUsed/>
    <w:qFormat/>
    <w:rsid w:val="00351A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51AD3"/>
    <w:rPr>
      <w:rFonts w:ascii="Times New Roman" w:eastAsia="Times New Roman" w:hAnsi="Times New Roman" w:cs="Times New Roman"/>
      <w:b/>
      <w:bCs/>
      <w:kern w:val="36"/>
      <w:sz w:val="48"/>
      <w:szCs w:val="48"/>
      <w:lang w:eastAsia="es-ES"/>
    </w:rPr>
  </w:style>
  <w:style w:type="character" w:customStyle="1" w:styleId="ns">
    <w:name w:val="ns"/>
    <w:basedOn w:val="Fuentedeprrafopredeter"/>
    <w:rsid w:val="00351AD3"/>
  </w:style>
  <w:style w:type="character" w:customStyle="1" w:styleId="font-size">
    <w:name w:val="font-size:"/>
    <w:basedOn w:val="Fuentedeprrafopredeter"/>
    <w:rsid w:val="00351AD3"/>
  </w:style>
  <w:style w:type="character" w:styleId="Textoennegrita">
    <w:name w:val="Strong"/>
    <w:basedOn w:val="Fuentedeprrafopredeter"/>
    <w:uiPriority w:val="22"/>
    <w:qFormat/>
    <w:rsid w:val="00351AD3"/>
    <w:rPr>
      <w:b/>
      <w:bCs/>
    </w:rPr>
  </w:style>
  <w:style w:type="paragraph" w:styleId="Textodeglobo">
    <w:name w:val="Balloon Text"/>
    <w:basedOn w:val="Normal"/>
    <w:link w:val="TextodegloboCar"/>
    <w:uiPriority w:val="99"/>
    <w:semiHidden/>
    <w:unhideWhenUsed/>
    <w:rsid w:val="00351A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1AD3"/>
    <w:rPr>
      <w:rFonts w:ascii="Tahoma" w:hAnsi="Tahoma" w:cs="Tahoma"/>
      <w:sz w:val="16"/>
      <w:szCs w:val="16"/>
    </w:rPr>
  </w:style>
  <w:style w:type="character" w:customStyle="1" w:styleId="Ttulo4Car">
    <w:name w:val="Título 4 Car"/>
    <w:basedOn w:val="Fuentedeprrafopredeter"/>
    <w:link w:val="Ttulo4"/>
    <w:uiPriority w:val="9"/>
    <w:semiHidden/>
    <w:rsid w:val="00351AD3"/>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351AD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351AD3"/>
    <w:rPr>
      <w:color w:val="0000FF"/>
      <w:u w:val="single"/>
    </w:rPr>
  </w:style>
  <w:style w:type="paragraph" w:styleId="Ttulo">
    <w:name w:val="Title"/>
    <w:basedOn w:val="Normal"/>
    <w:next w:val="Normal"/>
    <w:link w:val="TtuloCar"/>
    <w:uiPriority w:val="10"/>
    <w:qFormat/>
    <w:rsid w:val="00CB22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B229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96660">
      <w:bodyDiv w:val="1"/>
      <w:marLeft w:val="0"/>
      <w:marRight w:val="0"/>
      <w:marTop w:val="0"/>
      <w:marBottom w:val="0"/>
      <w:divBdr>
        <w:top w:val="none" w:sz="0" w:space="0" w:color="auto"/>
        <w:left w:val="none" w:sz="0" w:space="0" w:color="auto"/>
        <w:bottom w:val="none" w:sz="0" w:space="0" w:color="auto"/>
        <w:right w:val="none" w:sz="0" w:space="0" w:color="auto"/>
      </w:divBdr>
      <w:divsChild>
        <w:div w:id="1234900532">
          <w:marLeft w:val="0"/>
          <w:marRight w:val="180"/>
          <w:marTop w:val="120"/>
          <w:marBottom w:val="120"/>
          <w:divBdr>
            <w:top w:val="none" w:sz="0" w:space="0" w:color="auto"/>
            <w:left w:val="none" w:sz="0" w:space="0" w:color="auto"/>
            <w:bottom w:val="none" w:sz="0" w:space="0" w:color="auto"/>
            <w:right w:val="none" w:sz="0" w:space="0" w:color="auto"/>
          </w:divBdr>
        </w:div>
        <w:div w:id="1867985390">
          <w:marLeft w:val="0"/>
          <w:marRight w:val="0"/>
          <w:marTop w:val="0"/>
          <w:marBottom w:val="0"/>
          <w:divBdr>
            <w:top w:val="none" w:sz="0" w:space="0" w:color="auto"/>
            <w:left w:val="none" w:sz="0" w:space="0" w:color="auto"/>
            <w:bottom w:val="none" w:sz="0" w:space="0" w:color="auto"/>
            <w:right w:val="none" w:sz="0" w:space="0" w:color="auto"/>
          </w:divBdr>
        </w:div>
      </w:divsChild>
    </w:div>
    <w:div w:id="55575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cd.gob.es/dam/jcr:a9750451-3772-45db-a739-280016368909/aprender-a-aprenderlog.p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376</Words>
  <Characters>2073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EOI-05-user</dc:creator>
  <cp:lastModifiedBy>pedro fuentes casteleira</cp:lastModifiedBy>
  <cp:revision>7</cp:revision>
  <cp:lastPrinted>2018-02-05T20:23:00Z</cp:lastPrinted>
  <dcterms:created xsi:type="dcterms:W3CDTF">2018-01-19T08:50:00Z</dcterms:created>
  <dcterms:modified xsi:type="dcterms:W3CDTF">2018-03-08T09:13:00Z</dcterms:modified>
</cp:coreProperties>
</file>