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70" w:type="dxa"/>
        <w:jc w:val="left"/>
        <w:tblInd w:w="-1332" w:type="dxa"/>
        <w:tblBorders>
          <w:top w:val="single" w:sz="18" w:space="0" w:color="0099CC"/>
          <w:left w:val="single" w:sz="18" w:space="0" w:color="0099CC"/>
          <w:bottom w:val="single" w:sz="18" w:space="0" w:color="0099CC"/>
          <w:right w:val="single" w:sz="18" w:space="0" w:color="0099CC"/>
          <w:insideH w:val="single" w:sz="18" w:space="0" w:color="0099CC"/>
          <w:insideV w:val="single" w:sz="18" w:space="0" w:color="0099CC"/>
        </w:tblBorders>
        <w:tblCellMar>
          <w:top w:w="0" w:type="dxa"/>
          <w:left w:w="85" w:type="dxa"/>
          <w:bottom w:w="0" w:type="dxa"/>
          <w:right w:w="108" w:type="dxa"/>
        </w:tblCellMar>
      </w:tblPr>
      <w:tblGrid>
        <w:gridCol w:w="45"/>
        <w:gridCol w:w="2160"/>
        <w:gridCol w:w="2970"/>
        <w:gridCol w:w="390"/>
        <w:gridCol w:w="3120"/>
        <w:gridCol w:w="2685"/>
      </w:tblGrid>
      <w:tr>
        <w:trPr>
          <w:trHeight w:val="1" w:hRule="atLeast"/>
        </w:trPr>
        <w:tc>
          <w:tcPr>
            <w:tcW w:w="11370" w:type="dxa"/>
            <w:gridSpan w:val="6"/>
            <w:tcBorders>
              <w:top w:val="single" w:sz="18" w:space="0" w:color="0099CC"/>
              <w:left w:val="single" w:sz="18" w:space="0" w:color="0099CC"/>
              <w:bottom w:val="single" w:sz="18" w:space="0" w:color="0099CC"/>
              <w:right w:val="single" w:sz="18" w:space="0" w:color="0099CC"/>
              <w:insideH w:val="single" w:sz="18" w:space="0" w:color="0099CC"/>
              <w:insideV w:val="single" w:sz="18" w:space="0" w:color="0099CC"/>
            </w:tcBorders>
            <w:shd w:color="auto" w:fill="0066CC" w:val="clear"/>
            <w:tcMar>
              <w:left w:w="8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4"/>
                <w:shd w:fill="FFFFFF" w:val="clear"/>
              </w:rPr>
              <w:t xml:space="preserve">U.D 2: “Un cadáver exquisito”.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La cohesión textual. Clases de sintagmas. El sintagma nominal. La poesía medieval (II)</w:t>
            </w:r>
          </w:p>
        </w:tc>
      </w:tr>
      <w:tr>
        <w:trPr>
          <w:trHeight w:val="1" w:hRule="atLeast"/>
        </w:trPr>
        <w:tc>
          <w:tcPr>
            <w:tcW w:w="11370" w:type="dxa"/>
            <w:gridSpan w:val="6"/>
            <w:tcBorders>
              <w:top w:val="single" w:sz="18" w:space="0" w:color="0099CC"/>
              <w:left w:val="single" w:sz="18" w:space="0" w:color="0099CC"/>
              <w:bottom w:val="single" w:sz="18" w:space="0" w:color="0099CC"/>
              <w:right w:val="single" w:sz="18" w:space="0" w:color="0099CC"/>
              <w:insideH w:val="single" w:sz="18" w:space="0" w:color="0099CC"/>
              <w:insideV w:val="single" w:sz="18" w:space="0" w:color="0099CC"/>
            </w:tcBorders>
            <w:shd w:color="auto" w:fill="EFF9FF" w:val="clear"/>
            <w:tcMar>
              <w:left w:w="8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 xml:space="preserve">TRIMESTRE: 1º SESIONES:10 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 xml:space="preserve">          COMPLEJIDAD: 1-2-3-4-5                   EVALUACIÓN  1-2-3-4-5</w:t>
            </w:r>
          </w:p>
        </w:tc>
      </w:tr>
      <w:tr>
        <w:trPr>
          <w:trHeight w:val="1657" w:hRule="atLeast"/>
        </w:trPr>
        <w:tc>
          <w:tcPr>
            <w:tcW w:w="2205" w:type="dxa"/>
            <w:gridSpan w:val="2"/>
            <w:tcBorders>
              <w:top w:val="single" w:sz="4" w:space="0" w:color="0099CC"/>
              <w:left w:val="single" w:sz="18" w:space="0" w:color="0099CC"/>
              <w:bottom w:val="single" w:sz="18" w:space="0" w:color="0099CC"/>
              <w:right w:val="single" w:sz="4" w:space="0" w:color="0099CC"/>
              <w:insideH w:val="single" w:sz="18" w:space="0" w:color="0099CC"/>
              <w:insideV w:val="single" w:sz="4" w:space="0" w:color="0099CC"/>
            </w:tcBorders>
            <w:shd w:color="auto" w:fill="E7F7FD" w:val="clear"/>
            <w:tcMar>
              <w:left w:w="8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OBJETIVOS</w:t>
            </w:r>
          </w:p>
        </w:tc>
        <w:tc>
          <w:tcPr>
            <w:tcW w:w="9165" w:type="dxa"/>
            <w:gridSpan w:val="4"/>
            <w:tcBorders>
              <w:top w:val="single" w:sz="4" w:space="0" w:color="0099CC"/>
              <w:left w:val="single" w:sz="4" w:space="0" w:color="0099CC"/>
              <w:bottom w:val="single" w:sz="18" w:space="0" w:color="0099CC"/>
              <w:right w:val="single" w:sz="18" w:space="0" w:color="0099CC"/>
              <w:insideH w:val="single" w:sz="18" w:space="0" w:color="0099CC"/>
              <w:insideV w:val="single" w:sz="18" w:space="0" w:color="0099CC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exact" w:line="240" w:before="0" w:after="0"/>
              <w:ind w:left="360" w:right="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Hacer de la lectura fuente de placer, de enriquecimiento personal y de conocimiento del mundo; que les permita el desarrollo de sus propios gustos e intereses literarios y su autonomía lectora.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exact" w:line="240" w:before="0" w:after="0"/>
              <w:ind w:left="360" w:right="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Aplicar con cierta autonomía los conocimientos sobre la lengua y las normas del uso lingüístico para comprender textos orales y escritos y para escribir y hablar con adecuación, coherencia, cohesión y corrección. 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exact" w:line="240" w:before="0" w:after="0"/>
              <w:ind w:left="360" w:right="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Conocer  y usar la norma ortográfica y valorar su uso positivamente.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exact" w:line="240" w:before="0" w:after="0"/>
              <w:ind w:left="360" w:right="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FFFFFF" w:val="clear"/>
              </w:rPr>
              <w:t>Aproximarse al conocimiento de muestras relevantes del patrimonio literario y valorarlo como un modo de simbolizar la experiencia individual y colectiva en diferentes contextos histórico-culturales.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exact" w:line="240" w:before="0" w:after="0"/>
              <w:ind w:left="360" w:right="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Conocer y apreciar las peculiaridades de la modalidad lingüística andaluza, en todas sus variedades, como forma natural de expresarnos y para una correcta interpretación del mundo cultural y académico andaluz.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exact" w:line="240" w:before="0" w:after="0"/>
              <w:ind w:left="360" w:right="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Utilizar con autonomía y espíritu crítico los medios de comunicación social y las tecnologías de la información.</w:t>
            </w:r>
          </w:p>
        </w:tc>
      </w:tr>
      <w:tr>
        <w:trPr>
          <w:trHeight w:val="2461" w:hRule="atLeast"/>
        </w:trPr>
        <w:tc>
          <w:tcPr>
            <w:tcW w:w="2205" w:type="dxa"/>
            <w:gridSpan w:val="2"/>
            <w:tcBorders>
              <w:top w:val="single" w:sz="4" w:space="0" w:color="0099CC"/>
              <w:left w:val="single" w:sz="18" w:space="0" w:color="0099CC"/>
              <w:bottom w:val="single" w:sz="18" w:space="0" w:color="0099CC"/>
              <w:right w:val="single" w:sz="4" w:space="0" w:color="0099CC"/>
              <w:insideH w:val="single" w:sz="18" w:space="0" w:color="0099CC"/>
              <w:insideV w:val="single" w:sz="4" w:space="0" w:color="0099CC"/>
            </w:tcBorders>
            <w:shd w:color="auto" w:fill="E7F7FD" w:val="clear"/>
            <w:tcMar>
              <w:left w:w="8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113" w:right="11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CONTENIDOS</w:t>
            </w:r>
          </w:p>
        </w:tc>
        <w:tc>
          <w:tcPr>
            <w:tcW w:w="6480" w:type="dxa"/>
            <w:gridSpan w:val="3"/>
            <w:tcBorders>
              <w:top w:val="single" w:sz="4" w:space="0" w:color="0099CC"/>
              <w:left w:val="single" w:sz="4" w:space="0" w:color="0099CC"/>
              <w:bottom w:val="single" w:sz="18" w:space="0" w:color="0099CC"/>
              <w:right w:val="single" w:sz="4" w:space="0" w:color="0099CC"/>
              <w:insideH w:val="single" w:sz="18" w:space="0" w:color="0099CC"/>
              <w:insideV w:val="single" w:sz="4" w:space="0" w:color="0099CC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exact" w:line="260" w:before="0" w:after="106"/>
              <w:ind w:left="360" w:right="0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La literatura medieval (II). Mester de Clerecía. Gonzalo de Berceo. Juan Ruiz, el arcipreste de Hita. La lírica culta del siglo xv.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exact" w:line="240" w:before="0" w:after="106"/>
              <w:ind w:left="360" w:right="0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La cohesión.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exact" w:line="240" w:before="0" w:after="0"/>
              <w:ind w:left="360" w:right="0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Los diccionarios.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exact" w:line="260" w:before="0" w:after="106"/>
              <w:ind w:left="360" w:right="0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El sintagma nominal; los componentes del sintagma nominal; funciones del sintagma nominal.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exact" w:line="260" w:before="0" w:after="106"/>
              <w:ind w:left="360" w:right="0" w:hanging="36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Acentuación diacrítica (II).</w:t>
            </w:r>
          </w:p>
        </w:tc>
        <w:tc>
          <w:tcPr>
            <w:tcW w:w="2685" w:type="dxa"/>
            <w:tcBorders>
              <w:top w:val="single" w:sz="18" w:space="0" w:color="0099CC"/>
              <w:left w:val="single" w:sz="18" w:space="0" w:color="0099CC"/>
              <w:bottom w:val="single" w:sz="4" w:space="0" w:color="0099CC"/>
              <w:right w:val="single" w:sz="18" w:space="0" w:color="0099CC"/>
              <w:insideH w:val="single" w:sz="4" w:space="0" w:color="0099CC"/>
              <w:insideV w:val="single" w:sz="18" w:space="0" w:color="0099CC"/>
            </w:tcBorders>
            <w:shd w:color="auto" w:fill="E7F7FD" w:val="clear"/>
            <w:tcMar>
              <w:left w:w="8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ATENCIÓN A LA DIVERSIDAD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 xml:space="preserve">Apoyo y refuerzo: 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>Material de concentración.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>Adaptación de los objetivos en las tareas.  Apoyo curricular en el aula.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 xml:space="preserve">Material complementario.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 xml:space="preserve">Ampliación: 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>Investigación sobre hechos históricos con actividades complementarias de ampliación.</w:t>
            </w:r>
          </w:p>
        </w:tc>
      </w:tr>
      <w:tr>
        <w:trPr>
          <w:trHeight w:val="1" w:hRule="atLeast"/>
        </w:trPr>
        <w:tc>
          <w:tcPr>
            <w:tcW w:w="5175" w:type="dxa"/>
            <w:gridSpan w:val="3"/>
            <w:tcBorders>
              <w:top w:val="single" w:sz="18" w:space="0" w:color="0099CC"/>
              <w:left w:val="single" w:sz="18" w:space="0" w:color="0099CC"/>
              <w:bottom w:val="single" w:sz="4" w:space="0" w:color="0099CC"/>
              <w:right w:val="single" w:sz="18" w:space="0" w:color="0099CC"/>
              <w:insideH w:val="single" w:sz="4" w:space="0" w:color="0099CC"/>
              <w:insideV w:val="single" w:sz="18" w:space="0" w:color="0099CC"/>
            </w:tcBorders>
            <w:shd w:color="auto" w:fill="E7F7FD" w:val="clear"/>
            <w:tcMar>
              <w:left w:w="8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TEMAS TRANSVERSALES</w:t>
            </w:r>
          </w:p>
        </w:tc>
        <w:tc>
          <w:tcPr>
            <w:tcW w:w="6195" w:type="dxa"/>
            <w:gridSpan w:val="3"/>
            <w:tcBorders>
              <w:top w:val="single" w:sz="18" w:space="0" w:color="0099CC"/>
              <w:left w:val="single" w:sz="18" w:space="0" w:color="0099CC"/>
              <w:bottom w:val="single" w:sz="4" w:space="0" w:color="0099CC"/>
              <w:right w:val="single" w:sz="18" w:space="0" w:color="0099CC"/>
              <w:insideH w:val="single" w:sz="4" w:space="0" w:color="0099CC"/>
              <w:insideV w:val="single" w:sz="18" w:space="0" w:color="0099CC"/>
            </w:tcBorders>
            <w:shd w:color="auto" w:fill="E7F7FD" w:val="clear"/>
            <w:tcMar>
              <w:left w:w="8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METODOLOGÍA</w:t>
            </w:r>
          </w:p>
        </w:tc>
      </w:tr>
      <w:tr>
        <w:trPr>
          <w:trHeight w:val="1567" w:hRule="atLeast"/>
        </w:trPr>
        <w:tc>
          <w:tcPr>
            <w:tcW w:w="5175" w:type="dxa"/>
            <w:gridSpan w:val="3"/>
            <w:tcBorders>
              <w:top w:val="single" w:sz="4" w:space="0" w:color="0099CC"/>
              <w:left w:val="single" w:sz="18" w:space="0" w:color="0099CC"/>
              <w:bottom w:val="single" w:sz="18" w:space="0" w:color="0099CC"/>
              <w:right w:val="single" w:sz="18" w:space="0" w:color="0099CC"/>
              <w:insideH w:val="single" w:sz="18" w:space="0" w:color="0099CC"/>
              <w:insideV w:val="single" w:sz="18" w:space="0" w:color="0099CC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333333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>•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>Educación para la paz. Educación para la igualdad entre los sexos. Uso de las TIC.</w:t>
            </w:r>
          </w:p>
        </w:tc>
        <w:tc>
          <w:tcPr>
            <w:tcW w:w="6195" w:type="dxa"/>
            <w:gridSpan w:val="3"/>
            <w:tcBorders>
              <w:top w:val="single" w:sz="4" w:space="0" w:color="0099CC"/>
              <w:left w:val="single" w:sz="18" w:space="0" w:color="0099CC"/>
              <w:bottom w:val="single" w:sz="18" w:space="0" w:color="0099CC"/>
              <w:right w:val="single" w:sz="18" w:space="0" w:color="0099CC"/>
              <w:insideH w:val="single" w:sz="18" w:space="0" w:color="0099CC"/>
              <w:insideV w:val="single" w:sz="18" w:space="0" w:color="0099CC"/>
            </w:tcBorders>
            <w:shd w:color="auto" w:fill="auto" w:val="clear"/>
            <w:tcMar>
              <w:left w:w="85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142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333333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142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Modelos metodológicos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 xml:space="preserve">: modelo discursivo-expositivo, aprendizaje cooperativo, trabajo por tareas. 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Principios metodológicos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 xml:space="preserve">: Actividad y experimentación. 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pacing w:val="0"/>
                <w:sz w:val="24"/>
                <w:shd w:fill="FFFFFF" w:val="clear"/>
              </w:rPr>
              <w:t>Agrupamiento:</w:t>
            </w:r>
            <w:r>
              <w:rPr>
                <w:rFonts w:eastAsia="Times New Roman" w:cs="Times New Roman" w:ascii="Times New Roman" w:hAnsi="Times New Roman"/>
                <w:color w:val="333333"/>
                <w:spacing w:val="0"/>
                <w:sz w:val="24"/>
                <w:shd w:fill="FFFFFF" w:val="clear"/>
              </w:rPr>
              <w:t xml:space="preserve"> tareas individuales, pequeño grupo.</w:t>
            </w:r>
          </w:p>
        </w:tc>
      </w:tr>
      <w:tr>
        <w:trPr>
          <w:trHeight w:val="70" w:hRule="atLeast"/>
        </w:trPr>
        <w:tc>
          <w:tcPr>
            <w:tcW w:w="45" w:type="dxa"/>
            <w:tcBorders>
              <w:top w:val="single" w:sz="4" w:space="0" w:color="0099CC"/>
              <w:left w:val="single" w:sz="18" w:space="0" w:color="0099CC"/>
              <w:bottom w:val="single" w:sz="4" w:space="0" w:color="0099CC"/>
              <w:right w:val="single" w:sz="4" w:space="0" w:color="0099CC"/>
              <w:insideH w:val="single" w:sz="4" w:space="0" w:color="0099CC"/>
              <w:insideV w:val="single" w:sz="4" w:space="0" w:color="0099CC"/>
            </w:tcBorders>
            <w:shd w:color="auto" w:fill="E7F7FD" w:val="clear"/>
            <w:tcMar>
              <w:left w:w="85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5520" w:type="dxa"/>
            <w:gridSpan w:val="3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4" w:space="0" w:color="0099CC"/>
              <w:insideH w:val="single" w:sz="4" w:space="0" w:color="0099CC"/>
              <w:insideV w:val="single" w:sz="4" w:space="0" w:color="0099CC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5805" w:type="dxa"/>
            <w:gridSpan w:val="2"/>
            <w:tcBorders>
              <w:top w:val="single" w:sz="4" w:space="0" w:color="0099CC"/>
              <w:left w:val="single" w:sz="4" w:space="0" w:color="0099CC"/>
              <w:bottom w:val="single" w:sz="4" w:space="0" w:color="0099CC"/>
              <w:right w:val="single" w:sz="18" w:space="0" w:color="0099CC"/>
              <w:insideH w:val="single" w:sz="4" w:space="0" w:color="0099CC"/>
              <w:insideV w:val="single" w:sz="18" w:space="0" w:color="0099CC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140" w:right="0" w:hanging="0"/>
              <w:jc w:val="both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tbl>
      <w:tblPr>
        <w:tblW w:w="10200" w:type="dxa"/>
        <w:jc w:val="left"/>
        <w:tblInd w:w="-98" w:type="dxa"/>
        <w:tblBorders>
          <w:top w:val="single" w:sz="22" w:space="0" w:color="2E74B5"/>
          <w:left w:val="single" w:sz="22" w:space="0" w:color="2E74B5"/>
          <w:bottom w:val="single" w:sz="6" w:space="0" w:color="2E74B5"/>
          <w:right w:val="single" w:sz="6" w:space="0" w:color="836967"/>
          <w:insideH w:val="single" w:sz="6" w:space="0" w:color="2E74B5"/>
          <w:insideV w:val="single" w:sz="6" w:space="0" w:color="836967"/>
        </w:tblBorders>
        <w:tblCellMar>
          <w:top w:w="0" w:type="dxa"/>
          <w:left w:w="-17" w:type="dxa"/>
          <w:bottom w:w="0" w:type="dxa"/>
          <w:right w:w="10" w:type="dxa"/>
        </w:tblCellMar>
      </w:tblPr>
      <w:tblGrid>
        <w:gridCol w:w="5801"/>
        <w:gridCol w:w="760"/>
        <w:gridCol w:w="760"/>
        <w:gridCol w:w="1429"/>
        <w:gridCol w:w="1450"/>
      </w:tblGrid>
      <w:tr>
        <w:trPr>
          <w:trHeight w:val="60" w:hRule="atLeast"/>
        </w:trPr>
        <w:tc>
          <w:tcPr>
            <w:tcW w:w="5801" w:type="dxa"/>
            <w:tcBorders>
              <w:top w:val="single" w:sz="22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Criterios de evaluación</w:t>
            </w:r>
          </w:p>
        </w:tc>
        <w:tc>
          <w:tcPr>
            <w:tcW w:w="760" w:type="dxa"/>
            <w:tcBorders>
              <w:top w:val="single" w:sz="22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Bloque</w:t>
            </w:r>
          </w:p>
        </w:tc>
        <w:tc>
          <w:tcPr>
            <w:tcW w:w="760" w:type="dxa"/>
            <w:tcBorders>
              <w:top w:val="single" w:sz="22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spacing w:val="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Valor</w:t>
            </w:r>
          </w:p>
        </w:tc>
        <w:tc>
          <w:tcPr>
            <w:tcW w:w="1429" w:type="dxa"/>
            <w:tcBorders>
              <w:top w:val="single" w:sz="22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Estándares de aprendizaje</w:t>
            </w:r>
          </w:p>
        </w:tc>
        <w:tc>
          <w:tcPr>
            <w:tcW w:w="1450" w:type="dxa"/>
            <w:tcBorders>
              <w:top w:val="single" w:sz="22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Instrumentos</w:t>
            </w:r>
          </w:p>
        </w:tc>
      </w:tr>
      <w:tr>
        <w:trPr>
          <w:trHeight w:val="518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1.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FFFFFF" w:val="clear"/>
              </w:rPr>
              <w:t xml:space="preserve"> Comprender, interpretar y valorar textos orales propios del ámbito personal, académico/escolar y social atendiendo al análisis de los elementos de la comunicación y a las funciones del lenguaje presentes. CCL, CAA, CSC.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1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1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1.1.  1.2.  1.3.  1.4.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2"/>
                <w:shd w:fill="FFFFFF" w:val="clear"/>
              </w:rPr>
              <w:t xml:space="preserve">debate </w:t>
            </w:r>
          </w:p>
        </w:tc>
      </w:tr>
      <w:tr>
        <w:trPr>
          <w:trHeight w:val="726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4.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2"/>
                <w:shd w:fill="FFFFFF" w:val="clear"/>
              </w:rPr>
              <w:t xml:space="preserve"> Valorar la importancia de la conversación en la vida social practicando actos de habla: contando, describiendo, opinando y dialogando en situaciones comunicativas propias de la actividad escolar. CCL, CAA, CSC, SIEP.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1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0.5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4.1.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9656" w:leader="none"/>
              </w:tabs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preguntas vídeo</w:t>
            </w:r>
          </w:p>
        </w:tc>
      </w:tr>
      <w:tr>
        <w:trPr>
          <w:trHeight w:val="492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 Aplicar estrategias de lectura comprensiva y crítica de textos. CCL, CAA, CSC, CEC.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2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1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1.1.  1.2.  1.4. 1.5.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comentario texto</w:t>
            </w:r>
          </w:p>
        </w:tc>
      </w:tr>
      <w:tr>
        <w:trPr>
          <w:trHeight w:val="287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2.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 xml:space="preserve"> Leer, comprender, interpretar y valorar textos. CCL, CAA, CEC.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2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2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.1.  2.5.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prueba escrita</w:t>
            </w:r>
          </w:p>
        </w:tc>
      </w:tr>
      <w:tr>
        <w:trPr>
          <w:trHeight w:val="309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 Escribir textos relacionados con los ámbitos personal, académico y social. CCL, CD, CAA, CSC.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2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2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6.2.  6.3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creación texto</w:t>
            </w:r>
          </w:p>
        </w:tc>
      </w:tr>
      <w:tr>
        <w:trPr>
          <w:trHeight w:val="309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 Aplicar los conocimientos sobre la lengua y sus normas de uso para resolver problemas de comprensión de textos orales y escritos y para la composición de textos. CCL, CAA.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3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0.25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 xml:space="preserve">1.1.  1.2. 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2"/>
                <w:shd w:fill="FFFFFF" w:val="clear"/>
              </w:rPr>
              <w:t>Comprensión lectora</w:t>
            </w:r>
          </w:p>
        </w:tc>
      </w:tr>
      <w:tr>
        <w:trPr>
          <w:trHeight w:val="309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14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 Conocer el origen histórico y evolución del castellano y su expansión en el mundo. CEC, CCL.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3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0.25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>14.1.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Liberation Serif" w:cs="Liberation Serif"/>
                <w:color w:val="00000A"/>
                <w:spacing w:val="0"/>
                <w:sz w:val="22"/>
                <w:shd w:fill="FFFFFF" w:val="clear"/>
              </w:rPr>
              <w:t>prueba oral</w:t>
            </w:r>
          </w:p>
        </w:tc>
      </w:tr>
      <w:tr>
        <w:trPr>
          <w:trHeight w:val="309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 Promover la reflexión sobre la conexión entre la literatura y el resto de las artes, como expresión humana e interrelacionando las distintas épocas. CCL, CAA, CSC, CEC.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4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1,5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6" w:space="0" w:color="836967"/>
              <w:insideH w:val="single" w:sz="6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 xml:space="preserve">3.2. 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6" w:space="0" w:color="2E74B5"/>
              <w:right w:val="single" w:sz="22" w:space="0" w:color="2E74B5"/>
              <w:insideH w:val="single" w:sz="6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Línea del tiempo</w:t>
            </w:r>
          </w:p>
        </w:tc>
      </w:tr>
      <w:tr>
        <w:trPr>
          <w:trHeight w:val="309" w:hRule="atLeast"/>
        </w:trPr>
        <w:tc>
          <w:tcPr>
            <w:tcW w:w="5801" w:type="dxa"/>
            <w:tcBorders>
              <w:top w:val="single" w:sz="6" w:space="0" w:color="2E74B5"/>
              <w:left w:val="single" w:sz="22" w:space="0" w:color="2E74B5"/>
              <w:bottom w:val="single" w:sz="22" w:space="0" w:color="2E74B5"/>
              <w:right w:val="single" w:sz="6" w:space="0" w:color="836967"/>
              <w:insideH w:val="single" w:sz="22" w:space="0" w:color="2E74B5"/>
              <w:insideV w:val="single" w:sz="6" w:space="0" w:color="836967"/>
            </w:tcBorders>
            <w:shd w:color="auto" w:fill="D2F5FA" w:val="clear"/>
            <w:tcMar>
              <w:left w:w="-1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 Consultar y citar fuentes de información para realizar trabajo sobre un tema del currículo de literatura, adoptando punto de vista crítico, utilizando las TIC. CCL, CD, CAA.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22" w:space="0" w:color="2E74B5"/>
              <w:right w:val="single" w:sz="6" w:space="0" w:color="836967"/>
              <w:insideH w:val="single" w:sz="22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4</w:t>
            </w:r>
          </w:p>
        </w:tc>
        <w:tc>
          <w:tcPr>
            <w:tcW w:w="760" w:type="dxa"/>
            <w:tcBorders>
              <w:top w:val="single" w:sz="6" w:space="0" w:color="2E74B5"/>
              <w:left w:val="single" w:sz="6" w:space="0" w:color="2E74B5"/>
              <w:bottom w:val="single" w:sz="22" w:space="0" w:color="2E74B5"/>
              <w:right w:val="single" w:sz="6" w:space="0" w:color="836967"/>
              <w:insideH w:val="single" w:sz="22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1,5</w:t>
            </w:r>
          </w:p>
        </w:tc>
        <w:tc>
          <w:tcPr>
            <w:tcW w:w="1429" w:type="dxa"/>
            <w:tcBorders>
              <w:top w:val="single" w:sz="6" w:space="0" w:color="2E74B5"/>
              <w:left w:val="single" w:sz="6" w:space="0" w:color="2E74B5"/>
              <w:bottom w:val="single" w:sz="22" w:space="0" w:color="2E74B5"/>
              <w:right w:val="single" w:sz="6" w:space="0" w:color="836967"/>
              <w:insideH w:val="single" w:sz="22" w:space="0" w:color="2E74B5"/>
              <w:insideV w:val="single" w:sz="6" w:space="0" w:color="836967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sz w:val="22"/>
                <w:shd w:fill="FFFFFF" w:val="clear"/>
              </w:rPr>
              <w:t xml:space="preserve">7.1.  7.2. </w:t>
            </w:r>
          </w:p>
        </w:tc>
        <w:tc>
          <w:tcPr>
            <w:tcW w:w="1450" w:type="dxa"/>
            <w:tcBorders>
              <w:top w:val="single" w:sz="6" w:space="0" w:color="2E74B5"/>
              <w:left w:val="single" w:sz="6" w:space="0" w:color="2E74B5"/>
              <w:bottom w:val="single" w:sz="22" w:space="0" w:color="2E74B5"/>
              <w:right w:val="single" w:sz="22" w:space="0" w:color="2E74B5"/>
              <w:insideH w:val="single" w:sz="22" w:space="0" w:color="2E74B5"/>
              <w:insideV w:val="single" w:sz="22" w:space="0" w:color="2E74B5"/>
            </w:tcBorders>
            <w:shd w:color="auto" w:fill="D2F5FA" w:val="clear"/>
            <w:tcMar>
              <w:left w:w="1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56" w:before="113" w:after="0"/>
              <w:ind w:left="0" w:right="0" w:hanging="0"/>
              <w:jc w:val="left"/>
              <w:rPr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Proyecto escritoras</w:t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WenQuanYi Micro Hei" w:cs="Lohit Hindi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ontenidodelatabla">
    <w:name w:val="Contenido de la tabla"/>
    <w:basedOn w:val="Normal"/>
    <w:qFormat/>
    <w:pPr/>
    <w:rPr/>
  </w:style>
  <w:style w:type="paragraph" w:styleId="Encabezadodelatabla">
    <w:name w:val="Encabezado de la tabla"/>
    <w:basedOn w:val="Contenidodelatabla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LibreOffice/5.0.5.2$Linux_x86 LibreOffice_project/00m0$Build-2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es-ES</dc:language>
  <cp:lastModifiedBy>usuario </cp:lastModifiedBy>
  <dcterms:modified xsi:type="dcterms:W3CDTF">2018-05-22T10:48:47Z</dcterms:modified>
  <cp:revision>1</cp:revision>
</cp:coreProperties>
</file>