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ED" w:rsidRDefault="00B503ED" w:rsidP="00B503ED">
      <w:pPr>
        <w:spacing w:before="100" w:beforeAutospacing="1" w:after="0"/>
        <w:contextualSpacing/>
        <w:jc w:val="center"/>
        <w:rPr>
          <w:rFonts w:ascii="Calibri" w:hAnsi="Calibri" w:cs="Times New Roman"/>
          <w:b/>
          <w:sz w:val="36"/>
          <w:lang w:eastAsia="es-ES"/>
        </w:rPr>
      </w:pPr>
      <w:r>
        <w:rPr>
          <w:rFonts w:ascii="Calibri" w:hAnsi="Calibri" w:cs="Times New Roman"/>
          <w:b/>
          <w:sz w:val="36"/>
          <w:lang w:eastAsia="es-ES"/>
        </w:rPr>
        <w:t xml:space="preserve">LA </w:t>
      </w:r>
      <w:r>
        <w:rPr>
          <w:rFonts w:ascii="Calibri" w:hAnsi="Calibri" w:cs="Times New Roman"/>
          <w:b/>
          <w:sz w:val="36"/>
          <w:lang w:eastAsia="es-ES"/>
        </w:rPr>
        <w:t>FACTURA DEL AGUA</w:t>
      </w:r>
      <w:bookmarkStart w:id="0" w:name="_GoBack"/>
      <w:bookmarkEnd w:id="0"/>
    </w:p>
    <w:p w:rsidR="00B503ED" w:rsidRPr="0038179A" w:rsidRDefault="00B503ED" w:rsidP="00B503ED">
      <w:pPr>
        <w:spacing w:before="100" w:beforeAutospacing="1" w:after="0"/>
        <w:contextualSpacing/>
        <w:jc w:val="center"/>
        <w:rPr>
          <w:rFonts w:ascii="Calibri" w:hAnsi="Calibri" w:cs="Times New Roman"/>
          <w:b/>
          <w:sz w:val="20"/>
          <w:lang w:eastAsia="es-ES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69"/>
        <w:gridCol w:w="5501"/>
        <w:gridCol w:w="1449"/>
        <w:gridCol w:w="5965"/>
      </w:tblGrid>
      <w:tr w:rsidR="000C479B" w:rsidRPr="0038179A" w:rsidTr="00432644">
        <w:trPr>
          <w:tblCellSpacing w:w="0" w:type="dxa"/>
        </w:trPr>
        <w:tc>
          <w:tcPr>
            <w:tcW w:w="79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B9BD5" w:themeFill="accent1"/>
          </w:tcPr>
          <w:p w:rsidR="00B503ED" w:rsidRPr="0038179A" w:rsidRDefault="00B503ED" w:rsidP="00432644">
            <w:pPr>
              <w:spacing w:before="100" w:beforeAutospacing="1" w:after="0"/>
              <w:contextualSpacing/>
              <w:rPr>
                <w:rFonts w:ascii="Calibri" w:hAnsi="Calibri" w:cs="Times New Roman"/>
                <w:b/>
                <w:bCs/>
                <w:color w:val="FFFFFF" w:themeColor="background1"/>
                <w:lang w:eastAsia="es-ES"/>
              </w:rPr>
            </w:pPr>
            <w:r w:rsidRPr="0038179A">
              <w:rPr>
                <w:rFonts w:ascii="Calibri" w:hAnsi="Calibri" w:cs="Times New Roman"/>
                <w:b/>
                <w:bCs/>
                <w:color w:val="FFFFFF" w:themeColor="background1"/>
                <w:lang w:eastAsia="es-ES"/>
              </w:rPr>
              <w:t xml:space="preserve">MATERIA: </w:t>
            </w:r>
            <w:r>
              <w:rPr>
                <w:rFonts w:ascii="Calibri" w:hAnsi="Calibri" w:cs="Times New Roman"/>
                <w:b/>
                <w:bCs/>
                <w:color w:val="FFFFFF" w:themeColor="background1"/>
                <w:lang w:eastAsia="es-ES"/>
              </w:rPr>
              <w:t>Biología y Geología</w:t>
            </w:r>
          </w:p>
        </w:tc>
        <w:tc>
          <w:tcPr>
            <w:tcW w:w="74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B9BD5" w:themeFill="accent1"/>
          </w:tcPr>
          <w:p w:rsidR="00B503ED" w:rsidRPr="0038179A" w:rsidRDefault="00B503ED" w:rsidP="00432644">
            <w:pPr>
              <w:spacing w:before="100" w:beforeAutospacing="1" w:after="0"/>
              <w:contextualSpacing/>
              <w:rPr>
                <w:rFonts w:ascii="Calibri" w:hAnsi="Calibri" w:cs="Times New Roman"/>
                <w:b/>
                <w:bCs/>
                <w:color w:val="FFFFFF" w:themeColor="background1"/>
                <w:lang w:eastAsia="es-ES"/>
              </w:rPr>
            </w:pPr>
            <w:r w:rsidRPr="0038179A">
              <w:rPr>
                <w:rFonts w:ascii="Calibri" w:hAnsi="Calibri" w:cs="Times New Roman"/>
                <w:b/>
                <w:bCs/>
                <w:color w:val="FFFFFF" w:themeColor="background1"/>
                <w:lang w:eastAsia="es-ES"/>
              </w:rPr>
              <w:t xml:space="preserve">NIVEL: </w:t>
            </w:r>
            <w:r>
              <w:rPr>
                <w:rFonts w:ascii="Calibri" w:hAnsi="Calibri" w:cs="Times New Roman"/>
                <w:b/>
                <w:bCs/>
                <w:color w:val="FFFFFF" w:themeColor="background1"/>
                <w:lang w:eastAsia="es-ES"/>
              </w:rPr>
              <w:t xml:space="preserve"> 1º ESO</w:t>
            </w:r>
          </w:p>
        </w:tc>
      </w:tr>
      <w:tr w:rsidR="00B503ED" w:rsidRPr="0038179A" w:rsidTr="0043264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ED" w:rsidRPr="003903D3" w:rsidRDefault="00B503ED" w:rsidP="00432644">
            <w:pPr>
              <w:spacing w:before="100" w:beforeAutospacing="1" w:after="0"/>
              <w:contextualSpacing/>
              <w:rPr>
                <w:rFonts w:ascii="Calibri" w:hAnsi="Calibri" w:cs="Times New Roman"/>
                <w:sz w:val="20"/>
                <w:szCs w:val="20"/>
                <w:lang w:eastAsia="es-ES"/>
              </w:rPr>
            </w:pPr>
            <w:r w:rsidRPr="003903D3">
              <w:rPr>
                <w:rFonts w:ascii="Calibri" w:hAnsi="Calibri" w:cs="Times New Roman"/>
                <w:b/>
                <w:bCs/>
                <w:sz w:val="20"/>
                <w:szCs w:val="20"/>
                <w:lang w:eastAsia="es-ES"/>
              </w:rPr>
              <w:t>Criterio de evaluación:</w:t>
            </w:r>
            <w:r w:rsidRPr="003903D3">
              <w:rPr>
                <w:rFonts w:ascii="Calibri" w:hAnsi="Calibri" w:cs="Times New Roman"/>
                <w:sz w:val="20"/>
                <w:szCs w:val="20"/>
                <w:lang w:eastAsia="es-ES"/>
              </w:rPr>
              <w:t xml:space="preserve"> </w:t>
            </w:r>
          </w:p>
          <w:p w:rsidR="00B503ED" w:rsidRPr="003903D3" w:rsidRDefault="003903D3" w:rsidP="00432644">
            <w:pPr>
              <w:spacing w:before="100" w:beforeAutospacing="1" w:after="0"/>
              <w:contextualSpacing/>
              <w:rPr>
                <w:sz w:val="20"/>
                <w:szCs w:val="20"/>
              </w:rPr>
            </w:pPr>
            <w:r w:rsidRPr="003903D3">
              <w:rPr>
                <w:sz w:val="20"/>
                <w:szCs w:val="20"/>
              </w:rPr>
              <w:t>13. Valorar la necesidad de una gestión sostenible del agua y de actuaciones personales, así como colectivas, que potencien la reducción en el consumo y su reutilización.</w:t>
            </w:r>
          </w:p>
          <w:p w:rsidR="003903D3" w:rsidRPr="003903D3" w:rsidRDefault="003903D3" w:rsidP="00432644">
            <w:pPr>
              <w:spacing w:before="100" w:beforeAutospacing="1" w:after="0"/>
              <w:contextualSpacing/>
              <w:rPr>
                <w:rFonts w:ascii="Calibri" w:hAnsi="Calibri" w:cs="Times New Roman"/>
                <w:sz w:val="20"/>
                <w:szCs w:val="20"/>
                <w:lang w:eastAsia="es-ES"/>
              </w:rPr>
            </w:pPr>
            <w:r w:rsidRPr="003903D3">
              <w:rPr>
                <w:sz w:val="20"/>
                <w:szCs w:val="20"/>
              </w:rPr>
              <w:t>14. Justificar y argumentar la importancia de preservar y no contaminar las aguas dulces y saladas.</w:t>
            </w:r>
          </w:p>
        </w:tc>
      </w:tr>
      <w:tr w:rsidR="00B503ED" w:rsidRPr="0038179A" w:rsidTr="00432644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ED" w:rsidRPr="0038179A" w:rsidRDefault="00B503ED" w:rsidP="00432644">
            <w:pPr>
              <w:spacing w:before="100" w:beforeAutospacing="1" w:after="0"/>
              <w:contextualSpacing/>
              <w:rPr>
                <w:rFonts w:ascii="Calibri" w:hAnsi="Calibri" w:cs="Times New Roman"/>
                <w:sz w:val="20"/>
                <w:lang w:eastAsia="es-ES"/>
              </w:rPr>
            </w:pPr>
            <w:r>
              <w:rPr>
                <w:rFonts w:ascii="Calibri" w:hAnsi="Calibri" w:cs="Times New Roman"/>
                <w:b/>
                <w:bCs/>
                <w:sz w:val="20"/>
                <w:lang w:eastAsia="es-ES"/>
              </w:rPr>
              <w:t>Estrategias metodológicas</w:t>
            </w:r>
            <w:r w:rsidRPr="0038179A">
              <w:rPr>
                <w:rFonts w:ascii="Calibri" w:hAnsi="Calibri" w:cs="Times New Roman"/>
                <w:b/>
                <w:bCs/>
                <w:sz w:val="20"/>
                <w:lang w:eastAsia="es-ES"/>
              </w:rPr>
              <w:t>:</w:t>
            </w:r>
          </w:p>
          <w:p w:rsidR="00B503ED" w:rsidRPr="0038179A" w:rsidRDefault="00432109" w:rsidP="000C479B">
            <w:pPr>
              <w:spacing w:before="100" w:beforeAutospacing="1" w:after="0"/>
              <w:contextualSpacing/>
              <w:rPr>
                <w:rFonts w:ascii="Calibri" w:hAnsi="Calibri" w:cs="Times New Roman"/>
                <w:sz w:val="20"/>
                <w:lang w:eastAsia="es-ES"/>
              </w:rPr>
            </w:pPr>
            <w:r>
              <w:rPr>
                <w:rFonts w:ascii="Calibri" w:hAnsi="Calibri" w:cs="Times New Roman"/>
                <w:sz w:val="20"/>
                <w:lang w:eastAsia="es-ES"/>
              </w:rPr>
              <w:t>Se le proporciona a cada alumno una fotocopia de una factura de consumo doméstico de agua. El alumno debe responder a las cuestiones referentes al contenido de la informaci</w:t>
            </w:r>
            <w:r w:rsidR="003903D3">
              <w:rPr>
                <w:rFonts w:ascii="Calibri" w:hAnsi="Calibri" w:cs="Times New Roman"/>
                <w:sz w:val="20"/>
                <w:lang w:eastAsia="es-ES"/>
              </w:rPr>
              <w:t xml:space="preserve">ón. No solo se trabaja el eje transversal de ciudadano consumidor sino también el de ciudadano </w:t>
            </w:r>
            <w:r w:rsidR="000C479B">
              <w:rPr>
                <w:rFonts w:ascii="Calibri" w:hAnsi="Calibri" w:cs="Times New Roman"/>
                <w:sz w:val="20"/>
                <w:lang w:eastAsia="es-ES"/>
              </w:rPr>
              <w:t>sensibiliza</w:t>
            </w:r>
            <w:r w:rsidR="003903D3">
              <w:rPr>
                <w:rFonts w:ascii="Calibri" w:hAnsi="Calibri" w:cs="Times New Roman"/>
                <w:sz w:val="20"/>
                <w:lang w:eastAsia="es-ES"/>
              </w:rPr>
              <w:t>do con el uso sostenible de los recursos naturales y el respeto al medio ambiente.</w:t>
            </w:r>
            <w:r w:rsidR="000C479B">
              <w:rPr>
                <w:rFonts w:ascii="Calibri" w:hAnsi="Calibri" w:cs="Times New Roman"/>
                <w:sz w:val="20"/>
                <w:lang w:eastAsia="es-ES"/>
              </w:rPr>
              <w:t xml:space="preserve"> Al finalizar esta unidad el alumno debe ser consciente de las medidas caseras que él puede comprometerse a realizar para ahorrar en el consumo de agua.</w:t>
            </w:r>
          </w:p>
        </w:tc>
      </w:tr>
      <w:tr w:rsidR="003903D3" w:rsidRPr="0038179A" w:rsidTr="00432644">
        <w:trPr>
          <w:tblCellSpacing w:w="0" w:type="dxa"/>
        </w:trPr>
        <w:tc>
          <w:tcPr>
            <w:tcW w:w="95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ED" w:rsidRPr="0038179A" w:rsidRDefault="00B503ED" w:rsidP="00432644">
            <w:pPr>
              <w:spacing w:before="100" w:beforeAutospacing="1" w:after="0"/>
              <w:contextualSpacing/>
              <w:rPr>
                <w:rFonts w:ascii="Calibri" w:hAnsi="Calibri" w:cs="Times New Roman"/>
                <w:sz w:val="20"/>
                <w:lang w:eastAsia="es-ES"/>
              </w:rPr>
            </w:pPr>
            <w:r w:rsidRPr="0038179A">
              <w:rPr>
                <w:rFonts w:ascii="Calibri" w:hAnsi="Calibri" w:cs="Times New Roman"/>
                <w:b/>
                <w:bCs/>
                <w:sz w:val="20"/>
                <w:lang w:eastAsia="es-ES"/>
              </w:rPr>
              <w:t>Objetivos de la etapa:</w:t>
            </w:r>
          </w:p>
          <w:p w:rsidR="000C479B" w:rsidRPr="000C479B" w:rsidRDefault="000C479B" w:rsidP="00432644">
            <w:pPr>
              <w:spacing w:before="100" w:beforeAutospacing="1" w:after="0"/>
              <w:contextualSpacing/>
              <w:rPr>
                <w:sz w:val="20"/>
                <w:szCs w:val="20"/>
              </w:rPr>
            </w:pPr>
            <w:r w:rsidRPr="000C479B">
              <w:rPr>
                <w:sz w:val="20"/>
                <w:szCs w:val="20"/>
              </w:rPr>
              <w:t>3. Comprender y expresar mensajes con contenido científico utilizando el lenguaje oral y escrito con propiedad, interpretar diagramas, gráficas, tablas y expresiones matemáticas elementales, así como comunicar a otras personas argumentaciones y explicaciones en el ámbito de la ciencia.</w:t>
            </w:r>
          </w:p>
          <w:p w:rsidR="00432109" w:rsidRDefault="003903D3" w:rsidP="00432644">
            <w:pPr>
              <w:spacing w:before="100" w:beforeAutospacing="1" w:after="0"/>
              <w:contextualSpacing/>
              <w:rPr>
                <w:sz w:val="20"/>
                <w:szCs w:val="20"/>
              </w:rPr>
            </w:pPr>
            <w:r w:rsidRPr="003903D3">
              <w:rPr>
                <w:sz w:val="20"/>
                <w:szCs w:val="20"/>
              </w:rPr>
              <w:t>8. Conocer y valorar las interacciones de la ciencia con la sociedad y el medio ambiente, con atención particular a los problemas a los que se enfrenta hoy la humanidad y la necesidad de búsqueda y aplicación de soluciones, sujetas al principio de precaución, para avanzar hacia un futuro sostenible.</w:t>
            </w:r>
          </w:p>
          <w:p w:rsidR="003903D3" w:rsidRPr="003903D3" w:rsidRDefault="003903D3" w:rsidP="00432644">
            <w:pPr>
              <w:spacing w:before="100" w:beforeAutospacing="1" w:after="0"/>
              <w:contextualSpacing/>
              <w:rPr>
                <w:sz w:val="20"/>
                <w:szCs w:val="20"/>
              </w:rPr>
            </w:pPr>
            <w:r w:rsidRPr="003903D3">
              <w:rPr>
                <w:sz w:val="20"/>
                <w:szCs w:val="20"/>
              </w:rPr>
              <w:t xml:space="preserve">10. Conocer y apreciar los elementos específicos del patrimonio natural de Andalucía para que sea valorado y respetado como patrimonio propio y a escala española y universal. </w:t>
            </w:r>
          </w:p>
        </w:tc>
        <w:tc>
          <w:tcPr>
            <w:tcW w:w="5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03ED" w:rsidRPr="0038179A" w:rsidRDefault="00B503ED" w:rsidP="00432644">
            <w:pPr>
              <w:spacing w:before="100" w:beforeAutospacing="1" w:after="0"/>
              <w:contextualSpacing/>
              <w:rPr>
                <w:rFonts w:ascii="Calibri" w:hAnsi="Calibri" w:cs="Times New Roman"/>
                <w:sz w:val="20"/>
                <w:lang w:eastAsia="es-ES"/>
              </w:rPr>
            </w:pPr>
            <w:r w:rsidRPr="0038179A">
              <w:rPr>
                <w:rFonts w:ascii="Calibri" w:hAnsi="Calibri" w:cs="Times New Roman"/>
                <w:b/>
                <w:bCs/>
                <w:sz w:val="20"/>
                <w:lang w:eastAsia="es-ES"/>
              </w:rPr>
              <w:t xml:space="preserve">Contenidos </w:t>
            </w:r>
          </w:p>
          <w:p w:rsidR="00B503ED" w:rsidRPr="00BE2B67" w:rsidRDefault="00B503ED" w:rsidP="00432644">
            <w:pPr>
              <w:spacing w:before="100" w:beforeAutospacing="1" w:after="0"/>
              <w:contextualSpacing/>
              <w:rPr>
                <w:sz w:val="20"/>
                <w:szCs w:val="20"/>
              </w:rPr>
            </w:pPr>
            <w:r w:rsidRPr="00BE2B67">
              <w:rPr>
                <w:sz w:val="20"/>
                <w:szCs w:val="20"/>
              </w:rPr>
              <w:t>Bloque 2. La Tierra en el universo.</w:t>
            </w:r>
          </w:p>
          <w:p w:rsidR="00B503ED" w:rsidRPr="003903D3" w:rsidRDefault="003903D3" w:rsidP="00432109">
            <w:pPr>
              <w:spacing w:before="100" w:beforeAutospacing="1" w:after="0"/>
              <w:contextualSpacing/>
              <w:rPr>
                <w:sz w:val="20"/>
                <w:szCs w:val="20"/>
              </w:rPr>
            </w:pPr>
            <w:r w:rsidRPr="003903D3">
              <w:rPr>
                <w:sz w:val="20"/>
                <w:szCs w:val="20"/>
              </w:rPr>
              <w:t>La hidrosfera. El agua en la Tierra. Agua dulce y agua salada: importancia para los seres vivos. Contaminación del agua dulce y salada.</w:t>
            </w:r>
          </w:p>
        </w:tc>
      </w:tr>
      <w:tr w:rsidR="000C479B" w:rsidRPr="0038179A" w:rsidTr="00432109">
        <w:trPr>
          <w:tblCellSpacing w:w="0" w:type="dxa"/>
        </w:trPr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503ED" w:rsidRDefault="00B503ED" w:rsidP="00432644">
            <w:pPr>
              <w:spacing w:before="100" w:beforeAutospacing="1" w:after="0"/>
              <w:contextualSpacing/>
              <w:rPr>
                <w:rFonts w:ascii="Calibri" w:hAnsi="Calibri" w:cs="Times New Roman"/>
                <w:b/>
                <w:bCs/>
                <w:sz w:val="20"/>
                <w:lang w:eastAsia="es-ES"/>
              </w:rPr>
            </w:pPr>
            <w:r w:rsidRPr="0038179A">
              <w:rPr>
                <w:rFonts w:ascii="Calibri" w:hAnsi="Calibri" w:cs="Times New Roman"/>
                <w:b/>
                <w:bCs/>
                <w:sz w:val="20"/>
                <w:lang w:eastAsia="es-ES"/>
              </w:rPr>
              <w:t>Competencias:</w:t>
            </w:r>
          </w:p>
          <w:p w:rsidR="00B503ED" w:rsidRDefault="00B503ED" w:rsidP="00432644">
            <w:pPr>
              <w:spacing w:before="100" w:beforeAutospacing="1" w:after="0"/>
              <w:contextualSpacing/>
              <w:rPr>
                <w:rFonts w:ascii="Calibri" w:hAnsi="Calibri" w:cs="Times New Roman"/>
                <w:b/>
                <w:bCs/>
                <w:sz w:val="20"/>
                <w:lang w:eastAsia="es-ES"/>
              </w:rPr>
            </w:pPr>
            <w:r w:rsidRPr="005A0885">
              <w:rPr>
                <w:rFonts w:ascii="Calibri" w:hAnsi="Calibri" w:cs="Times New Roman"/>
                <w:bCs/>
                <w:sz w:val="20"/>
                <w:lang w:eastAsia="es-ES"/>
              </w:rPr>
              <w:t>CMCT</w:t>
            </w:r>
            <w:r>
              <w:rPr>
                <w:rFonts w:ascii="Calibri" w:hAnsi="Calibri" w:cs="Times New Roman"/>
                <w:bCs/>
                <w:sz w:val="20"/>
                <w:lang w:eastAsia="es-ES"/>
              </w:rPr>
              <w:t>, CSC, SIEP</w:t>
            </w:r>
          </w:p>
        </w:tc>
        <w:tc>
          <w:tcPr>
            <w:tcW w:w="1354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03ED" w:rsidRPr="003903D3" w:rsidRDefault="00B503ED" w:rsidP="00432644">
            <w:pPr>
              <w:spacing w:before="100" w:beforeAutospacing="1" w:after="0"/>
              <w:contextualSpacing/>
              <w:rPr>
                <w:rFonts w:ascii="Calibri" w:hAnsi="Calibri" w:cs="Times New Roman"/>
                <w:b/>
                <w:bCs/>
                <w:sz w:val="20"/>
                <w:szCs w:val="20"/>
                <w:lang w:eastAsia="es-ES"/>
              </w:rPr>
            </w:pPr>
            <w:r w:rsidRPr="003903D3">
              <w:rPr>
                <w:rFonts w:ascii="Calibri" w:hAnsi="Calibri" w:cs="Times New Roman"/>
                <w:b/>
                <w:bCs/>
                <w:sz w:val="20"/>
                <w:szCs w:val="20"/>
                <w:lang w:eastAsia="es-ES"/>
              </w:rPr>
              <w:t>Estándares de evaluación:</w:t>
            </w:r>
          </w:p>
          <w:p w:rsidR="003903D3" w:rsidRPr="003903D3" w:rsidRDefault="003903D3" w:rsidP="00432644">
            <w:pPr>
              <w:spacing w:before="100" w:beforeAutospacing="1" w:after="0"/>
              <w:contextualSpacing/>
              <w:rPr>
                <w:sz w:val="20"/>
                <w:szCs w:val="20"/>
              </w:rPr>
            </w:pPr>
            <w:r w:rsidRPr="003903D3">
              <w:rPr>
                <w:sz w:val="20"/>
                <w:szCs w:val="20"/>
              </w:rPr>
              <w:t>13.1. Comprende el significado de gestión sostenible del agua dulce, enumerando medidas concreta</w:t>
            </w:r>
            <w:r w:rsidRPr="003903D3">
              <w:rPr>
                <w:sz w:val="20"/>
                <w:szCs w:val="20"/>
              </w:rPr>
              <w:t>s que colaboren en esa gestión.</w:t>
            </w:r>
          </w:p>
          <w:p w:rsidR="00B503ED" w:rsidRPr="003903D3" w:rsidRDefault="003903D3" w:rsidP="00432644">
            <w:pPr>
              <w:spacing w:before="100" w:beforeAutospacing="1" w:after="0"/>
              <w:contextualSpacing/>
              <w:rPr>
                <w:rFonts w:ascii="Calibri" w:hAnsi="Calibri" w:cs="Times New Roman"/>
                <w:sz w:val="20"/>
                <w:szCs w:val="20"/>
                <w:lang w:eastAsia="es-ES"/>
              </w:rPr>
            </w:pPr>
            <w:r w:rsidRPr="003903D3">
              <w:rPr>
                <w:sz w:val="20"/>
                <w:szCs w:val="20"/>
              </w:rPr>
              <w:t>14.1. Reconoce los problemas de contaminación de aguas dulces y saladas y las relaciona con las actividades humanas.</w:t>
            </w:r>
          </w:p>
        </w:tc>
      </w:tr>
    </w:tbl>
    <w:p w:rsidR="00B503ED" w:rsidRPr="0038179A" w:rsidRDefault="00B503ED" w:rsidP="00B503ED">
      <w:pPr>
        <w:spacing w:before="100" w:beforeAutospacing="1" w:after="0"/>
        <w:contextualSpacing/>
        <w:rPr>
          <w:rFonts w:ascii="Calibri" w:hAnsi="Calibri" w:cs="Times New Roman"/>
          <w:lang w:eastAsia="es-ES"/>
        </w:rPr>
      </w:pPr>
    </w:p>
    <w:p w:rsidR="00B503ED" w:rsidRPr="00470E68" w:rsidRDefault="00B503ED" w:rsidP="00B503ED">
      <w:pPr>
        <w:rPr>
          <w:sz w:val="20"/>
          <w:szCs w:val="20"/>
        </w:rPr>
      </w:pPr>
    </w:p>
    <w:p w:rsidR="00B503ED" w:rsidRPr="00911A70" w:rsidRDefault="00B503ED" w:rsidP="00B503ED">
      <w:pPr>
        <w:rPr>
          <w:sz w:val="20"/>
          <w:szCs w:val="20"/>
        </w:rPr>
      </w:pPr>
    </w:p>
    <w:p w:rsidR="003C4A4D" w:rsidRPr="00E46B19" w:rsidRDefault="003C4A4D">
      <w:pPr>
        <w:rPr>
          <w:sz w:val="20"/>
          <w:szCs w:val="20"/>
        </w:rPr>
      </w:pPr>
    </w:p>
    <w:sectPr w:rsidR="003C4A4D" w:rsidRPr="00E46B19" w:rsidSect="00C22C7A">
      <w:headerReference w:type="default" r:id="rId5"/>
      <w:pgSz w:w="16840" w:h="11900" w:orient="landscape"/>
      <w:pgMar w:top="1276" w:right="720" w:bottom="284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AD" w:rsidRDefault="000C479B" w:rsidP="00E109AD">
    <w:pPr>
      <w:pStyle w:val="Encabezado"/>
    </w:pPr>
    <w:r>
      <w:rPr>
        <w:noProof/>
        <w:lang w:val="es-ES" w:eastAsia="es-ES"/>
      </w:rPr>
      <w:drawing>
        <wp:anchor distT="0" distB="0" distL="114935" distR="114935" simplePos="0" relativeHeight="251659264" behindDoc="1" locked="0" layoutInCell="1" allowOverlap="1" wp14:anchorId="41345B6E" wp14:editId="10A465B4">
          <wp:simplePos x="0" y="0"/>
          <wp:positionH relativeFrom="column">
            <wp:posOffset>228600</wp:posOffset>
          </wp:positionH>
          <wp:positionV relativeFrom="paragraph">
            <wp:posOffset>-54610</wp:posOffset>
          </wp:positionV>
          <wp:extent cx="2148840" cy="166370"/>
          <wp:effectExtent l="0" t="0" r="10160" b="1143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66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0DDE5C99" wp14:editId="26930185">
              <wp:simplePos x="0" y="0"/>
              <wp:positionH relativeFrom="column">
                <wp:posOffset>7315200</wp:posOffset>
              </wp:positionH>
              <wp:positionV relativeFrom="paragraph">
                <wp:posOffset>-54610</wp:posOffset>
              </wp:positionV>
              <wp:extent cx="2729230" cy="292735"/>
              <wp:effectExtent l="0" t="0" r="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230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9AD" w:rsidRDefault="000C479B" w:rsidP="00E109AD">
                          <w:pPr>
                            <w:pStyle w:val="Ttulo6"/>
                            <w:numPr>
                              <w:ilvl w:val="5"/>
                              <w:numId w:val="2"/>
                            </w:num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CONSEJERÍA DE EDUCACIÓN </w:t>
                          </w:r>
                        </w:p>
                        <w:p w:rsidR="00E109AD" w:rsidRDefault="000C479B" w:rsidP="00E109AD">
                          <w:pPr>
                            <w:jc w:val="center"/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 w:val="16"/>
                            </w:rPr>
                            <w:t xml:space="preserve">Dirección General de Ordenación 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 w:val="16"/>
                            </w:rPr>
                            <w:t>Educativa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E5C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in;margin-top:-4.3pt;width:214.9pt;height:23.0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" stroked="f">
              <v:textbox inset="0,0,0,0">
                <w:txbxContent>
                  <w:p w:rsidR="00E109AD" w:rsidRDefault="000C479B" w:rsidP="00E109AD">
                    <w:pPr>
                      <w:pStyle w:val="Ttulo6"/>
                      <w:numPr>
                        <w:ilvl w:val="5"/>
                        <w:numId w:val="2"/>
                      </w:num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CONSEJERÍA DE EDUCACIÓN </w:t>
                    </w:r>
                  </w:p>
                  <w:p w:rsidR="00E109AD" w:rsidRDefault="000C479B" w:rsidP="00E109AD">
                    <w:pPr>
                      <w:jc w:val="center"/>
                    </w:pPr>
                    <w:r>
                      <w:rPr>
                        <w:rFonts w:ascii="Tahoma" w:hAnsi="Tahoma" w:cs="Tahoma"/>
                        <w:b/>
                        <w:color w:val="008000"/>
                        <w:sz w:val="16"/>
                      </w:rPr>
                      <w:t xml:space="preserve">Dirección General de Ordenación </w:t>
                    </w:r>
                    <w:r>
                      <w:rPr>
                        <w:rFonts w:ascii="Tahoma" w:hAnsi="Tahoma" w:cs="Tahoma"/>
                        <w:b/>
                        <w:color w:val="008000"/>
                        <w:sz w:val="16"/>
                      </w:rPr>
                      <w:t>Educativa</w:t>
                    </w:r>
                  </w:p>
                </w:txbxContent>
              </v:textbox>
            </v:shape>
          </w:pict>
        </mc:Fallback>
      </mc:AlternateContent>
    </w:r>
  </w:p>
  <w:p w:rsidR="00E109AD" w:rsidRDefault="000C47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FB0E4F"/>
    <w:multiLevelType w:val="hybridMultilevel"/>
    <w:tmpl w:val="467C6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pStyle w:val="Ttulo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19"/>
    <w:rsid w:val="000C479B"/>
    <w:rsid w:val="003903D3"/>
    <w:rsid w:val="003C4A4D"/>
    <w:rsid w:val="00432109"/>
    <w:rsid w:val="00B503ED"/>
    <w:rsid w:val="00E4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F5BD"/>
  <w15:chartTrackingRefBased/>
  <w15:docId w15:val="{AC48CB0F-4620-4312-993F-775ACEBA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B503ED"/>
    <w:pPr>
      <w:keepNext/>
      <w:widowControl w:val="0"/>
      <w:numPr>
        <w:ilvl w:val="5"/>
        <w:numId w:val="1"/>
      </w:numPr>
      <w:suppressAutoHyphens/>
      <w:spacing w:after="0" w:line="240" w:lineRule="auto"/>
      <w:jc w:val="right"/>
      <w:outlineLvl w:val="5"/>
    </w:pPr>
    <w:rPr>
      <w:rFonts w:ascii="Tahoma" w:eastAsia="SimSun" w:hAnsi="Tahoma" w:cs="Tahoma"/>
      <w:b/>
      <w:color w:val="008000"/>
      <w:kern w:val="1"/>
      <w:sz w:val="18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B503ED"/>
    <w:rPr>
      <w:rFonts w:ascii="Tahoma" w:eastAsia="SimSun" w:hAnsi="Tahoma" w:cs="Tahoma"/>
      <w:b/>
      <w:color w:val="008000"/>
      <w:kern w:val="1"/>
      <w:sz w:val="18"/>
      <w:szCs w:val="24"/>
      <w:lang w:eastAsia="hi-IN" w:bidi="hi-IN"/>
    </w:rPr>
  </w:style>
  <w:style w:type="paragraph" w:styleId="Encabezado">
    <w:name w:val="header"/>
    <w:basedOn w:val="Normal"/>
    <w:link w:val="EncabezadoCar"/>
    <w:unhideWhenUsed/>
    <w:rsid w:val="00B503ED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ja-JP"/>
    </w:rPr>
  </w:style>
  <w:style w:type="character" w:customStyle="1" w:styleId="EncabezadoCar">
    <w:name w:val="Encabezado Car"/>
    <w:basedOn w:val="Fuentedeprrafopredeter"/>
    <w:link w:val="Encabezado"/>
    <w:rsid w:val="00B503ED"/>
    <w:rPr>
      <w:rFonts w:eastAsiaTheme="minorEastAsia"/>
      <w:sz w:val="24"/>
      <w:szCs w:val="24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2018-02-27T13:00:00Z</dcterms:created>
  <dcterms:modified xsi:type="dcterms:W3CDTF">2018-02-27T13:30:00Z</dcterms:modified>
</cp:coreProperties>
</file>