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Situación de partida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r w:rsidR="00BB31A8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Continuar con el Plan de Formación iniciado el curso pasado y tratar de que las modificaciones en nuestra práctica docente se hagan visibles</w:t>
      </w:r>
      <w:proofErr w:type="gramStart"/>
      <w:r w:rsidR="00BB31A8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  <w:proofErr w:type="gramEnd"/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Finalidad del proyecto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Planificar/unificar las diferentes actuaciones que deberán llevarse a cabo para ofrecer una respuesta educativa adecuada a las necesidades que </w:t>
      </w:r>
      <w:r w:rsidR="00BB31A8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plantean los alumnos y alumnas ,</w:t>
      </w:r>
      <w:bookmarkStart w:id="0" w:name="_GoBack"/>
      <w:bookmarkEnd w:id="0"/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así como sus familias- al pasar de una etapa a otra.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Objetivos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Facilitar una transición fluida y cómoda del alumnado y sus familias entre la etapa de Educación Primaria y la de Secundaria Obligatoria.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Facilitar un proceso de acogida e integración en el instituto que prevenga situaciones personales de inadaptación, ansiedad, aislamiento o bajo rendimiento escolar.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Facilitar un adecuado grado de comunicación entre los centros y las familias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Coordinar las actuaciones tutoriales entre el centro de Primaria y el de Secundaria.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Adoptar de manera rápida y ajustada las medidas oportunas de atención a la diversidad entre etapas.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Estimular la participación de las familias en la educación  de sus hijos y en la facilitación del proceso de transición a la Secundaria.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Mejorar los sistemas de evaluación de la competencia curricular entre etapas y la adscripción de las materias de refuerzo en Secundaria.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Mejorar la evaluación psicopedagógica y la adopción de medidas de escolarización consecuentes de los alumnos con necesidades educativas especiales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Estrategias y metodología colaborativa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Se desarrollarán actividades trabajando en grupos de diferentes maneras: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Actividades por Departamentos.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- Actividades </w:t>
      </w:r>
      <w:proofErr w:type="spellStart"/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intercentros</w:t>
      </w:r>
      <w:proofErr w:type="spellEnd"/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(IES y </w:t>
      </w:r>
      <w:proofErr w:type="spellStart"/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CEIPs</w:t>
      </w:r>
      <w:proofErr w:type="spellEnd"/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)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Actividades con el CEP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Actividades comunes para todos los participantes.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Actuaciones en el aula y en el centro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4"/>
        <w:gridCol w:w="1678"/>
        <w:gridCol w:w="5908"/>
      </w:tblGrid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Temporalización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Responsable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Reuniones Directores/as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Primer Trimestre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Directores/as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Reuniones Equipos de Orientación </w:t>
            </w:r>
            <w:proofErr w:type="spellStart"/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CEIPs</w:t>
            </w:r>
            <w:proofErr w:type="spellEnd"/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y Departamento de Orientación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Orientadoras y </w:t>
            </w:r>
            <w:proofErr w:type="spellStart"/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PTs.</w:t>
            </w:r>
            <w:proofErr w:type="spellEnd"/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Asesoramiento por parte del 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Asesor </w:t>
            </w:r>
            <w:proofErr w:type="spellStart"/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Respnsable</w:t>
            </w:r>
            <w:proofErr w:type="spellEnd"/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Reuniones Departamentos (IES)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Profesores/as especialistas en Lengua, Matemáticas e Inglés. 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Puesta en marcha de los acuerdos adoptados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Todos los participantes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Valoración de los resultados obtenidos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Tercer Trimestre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Todos los participantes.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lastRenderedPageBreak/>
              <w:t>Cualquier otra actividad que se considere necesaria.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</w:tbl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Recursos y apoyos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9465"/>
      </w:tblGrid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 Bold" w:eastAsia="Times New Roman" w:hAnsi="News Gothic Bold" w:cs="Times New Roman"/>
                <w:color w:val="333333"/>
                <w:sz w:val="21"/>
                <w:szCs w:val="21"/>
                <w:lang w:eastAsia="es-ES"/>
              </w:rPr>
              <w:t>Descripción del recurso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Asesora del 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15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Asesoramiento sobre el Protocolo de detección, identificación y tratamiento de NEAE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Programas de Tránsito de los diferentes centros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Análisis de los Programas de Tránsito.</w:t>
            </w:r>
          </w:p>
        </w:tc>
      </w:tr>
      <w:tr w:rsidR="00054D15" w:rsidRPr="00054D15" w:rsidTr="00054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Ponente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D15" w:rsidRPr="00054D15" w:rsidRDefault="00054D15" w:rsidP="00054D15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054D15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Detección y tratamiento de la dislexia.</w:t>
            </w:r>
          </w:p>
        </w:tc>
      </w:tr>
    </w:tbl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 Bold" w:eastAsia="Times New Roman" w:hAnsi="News Gothic Bold" w:cs="Times New Roman"/>
          <w:color w:val="333333"/>
          <w:sz w:val="21"/>
          <w:szCs w:val="21"/>
          <w:lang w:eastAsia="es-ES"/>
        </w:rPr>
        <w:t>Estrategias e indicadores para la valoración del trabajo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Análisis de los resultados obtenidos.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Valoración de los aprendizajes realizados por parte del profesorado participante.</w:t>
      </w:r>
    </w:p>
    <w:p w:rsidR="00054D15" w:rsidRPr="00054D15" w:rsidRDefault="00054D15" w:rsidP="00054D15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54D15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- Utilidad de los recursos que pudieran extraerse del Plan.</w:t>
      </w:r>
    </w:p>
    <w:p w:rsidR="00742582" w:rsidRDefault="00742582"/>
    <w:sectPr w:rsidR="00742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5"/>
    <w:rsid w:val="00054D15"/>
    <w:rsid w:val="00742582"/>
    <w:rsid w:val="00B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034B-1574-44C0-A2A3-9FB041A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 07</dc:creator>
  <cp:keywords/>
  <dc:description/>
  <cp:lastModifiedBy>FPB 07</cp:lastModifiedBy>
  <cp:revision>3</cp:revision>
  <dcterms:created xsi:type="dcterms:W3CDTF">2017-11-09T08:36:00Z</dcterms:created>
  <dcterms:modified xsi:type="dcterms:W3CDTF">2017-11-27T09:08:00Z</dcterms:modified>
</cp:coreProperties>
</file>