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AE" w:rsidRPr="001746AE" w:rsidRDefault="001746AE" w:rsidP="001746AE">
      <w:pPr>
        <w:shd w:val="clear" w:color="auto" w:fill="FFFFFF"/>
        <w:spacing w:after="0" w:line="312" w:lineRule="atLeast"/>
        <w:outlineLvl w:val="1"/>
        <w:rPr>
          <w:rFonts w:ascii="Quicksand" w:eastAsia="Times New Roman" w:hAnsi="Quicksand" w:cs="Times New Roman"/>
          <w:b/>
          <w:bCs/>
          <w:caps/>
          <w:color w:val="404040"/>
          <w:sz w:val="45"/>
          <w:szCs w:val="45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aps/>
          <w:color w:val="404040"/>
          <w:sz w:val="45"/>
          <w:szCs w:val="45"/>
          <w:bdr w:val="none" w:sz="0" w:space="0" w:color="auto" w:frame="1"/>
          <w:lang w:eastAsia="es-US"/>
        </w:rPr>
        <w:t>¿CÓMO HACER UN ESTUDIO FINANCIERO DE UN PROYECTO?</w:t>
      </w:r>
    </w:p>
    <w:p w:rsidR="001746AE" w:rsidRPr="001746AE" w:rsidRDefault="001746AE" w:rsidP="001746AE">
      <w:pPr>
        <w:shd w:val="clear" w:color="auto" w:fill="FFFFFF"/>
        <w:spacing w:after="300" w:line="398" w:lineRule="atLeast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</w:t>
      </w:r>
    </w:p>
    <w:p w:rsidR="001746AE" w:rsidRPr="001746AE" w:rsidRDefault="001746AE" w:rsidP="001746AE">
      <w:pPr>
        <w:shd w:val="clear" w:color="auto" w:fill="FFFFFF"/>
        <w:spacing w:after="300" w:line="398" w:lineRule="atLeast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Ya sabemos qué objetivo tiene un estudio económico y financiero de un proyecto. Es el momento de saber cómo hacerlo. Para lo que identificamos todos los componentes que deben incluirse durante su elaboración.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Ingresos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La base de los valoraciones y conclusiones del estudio.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Costos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 xml:space="preserve">. Se trata del costo total del producto o servicio que fijemos. Aquí entran desde el coste unitario, de materia prima, costos indirectos de </w:t>
      </w:r>
      <w:proofErr w:type="gramStart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fabricación</w:t>
      </w:r>
      <w:proofErr w:type="gramEnd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 xml:space="preserve"> así como la producción directa.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Gastos de administración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Todas las herramientas, los recursos y el personal necesario para llevar a cabo el proyecto.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Gastos de venta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Marketing y departamento comercial. ¿Cuánto nos cuesta vender los productivos y servicios?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Gastos financieros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 xml:space="preserve">. Correspondientes a la adquisición de préstamos necesarios, dentro del plan financiero de un proyecto. Con ellos sabremos la factibilidad financiera de un </w:t>
      </w:r>
      <w:proofErr w:type="gramStart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proyecto</w:t>
      </w:r>
      <w:proofErr w:type="gramEnd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 xml:space="preserve"> así como los diferentes estados financieros de un proyecto.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Depreciaciones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Se aplican debido al deterioro de herramientas o materiales usados en las actividades del proyecto. Por el uso de los recursos materiales.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Amortización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Su objetivo es saber la pérdida periódica del valor de los activos de un proyecto.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Plan de inversión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Requerimientos detallados para presentarlo a un posible inversor del proyecto. Se identifica el total de financiamiento óptimo, de acuerdo al tipo de proyecto.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Balance de apertura.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¿Qué disponemos en el momento del comienzo del proyecto? El estado de situación financiero durante la apertura. Identificamos los activos, pasivos y el capital contable en ese momento. Y lo comparamos con las estimaciones de ingresos y gastos. Clave para saber si el proyecto tiene futuro o no.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Presupuesto de caja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Movimientos del dinero. ¿Dónde y cuánto nos costará realizar transacciones de dinero?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Balance general proyectado.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Se realiza cada año y corresponde a la organización de activos, pasivos y capital contable proyectado en ése año concreto.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Razones financieras.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Se trata de las técnicas, índices y métodos de evaluación financiera de proyectos.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Punto de equilibrio.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¿Qué ingresos y gastos necesitamos para cubrir la ejecución del proyecto? Ni nos debe faltar ni sobrar dinero en este punto de equilibrio.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Flujo neto de efectivo.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La cantidad neta total de dinero que tendrá el proyecto durante todo su ciclo de vida, teniendo en cuenta la tasa interna de retorno, rentabilidad, VAN, TIR e IR.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Costo de capital.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También denominada Tasa de corte. Corresponde al valor del capital económico.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lastRenderedPageBreak/>
        <w:t>Valor Actual Neto (VAN)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Nos dirá lo que ganaríamos a día de hoy, como si el dinero que vamos a percibir en el futuro lo recibiéramos hoy.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TIR o Tasa Interna de Retorno o Rentabilidad.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Corresponde a la media de los rendimientos futuros estimados de una inversión. Nos dirá si es oportuno reinvertir. Para ello, el Valor Actual Neto debe ser igual a cero.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IR o Índice de Rentabilidad.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 Nos indica cuántas veces estamos ganando lo invertido.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Análisis de sensibilidad.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 xml:space="preserve"> En este estudio ponemos a prueba extrema el proyecto. Situaciones límite que puede soportar el proyecto. ¿Qué ocurre si hay un recorte extremo de ingresos? Podemos hacer simulaciones de planificaciones en </w:t>
      </w:r>
      <w:proofErr w:type="spellStart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Sinnaps</w:t>
      </w:r>
      <w:proofErr w:type="spellEnd"/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Para ver qué ocurriría en los distintos escenarios supuestos.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Riesgos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¿Cómo afectaría cada escenario hipotético a la rentabilidad del proyecto?</w:t>
      </w:r>
    </w:p>
    <w:p w:rsidR="001746AE" w:rsidRPr="001746AE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</w:pPr>
      <w:r w:rsidRPr="001746AE">
        <w:rPr>
          <w:rFonts w:ascii="Quicksand" w:eastAsia="Times New Roman" w:hAnsi="Quicksand" w:cs="Times New Roman"/>
          <w:b/>
          <w:bCs/>
          <w:color w:val="93BF01"/>
          <w:sz w:val="24"/>
          <w:szCs w:val="24"/>
          <w:bdr w:val="none" w:sz="0" w:space="0" w:color="auto" w:frame="1"/>
          <w:lang w:eastAsia="es-US"/>
        </w:rPr>
        <w:t>Análisis Unidimensional</w:t>
      </w:r>
      <w:r w:rsidRPr="001746AE">
        <w:rPr>
          <w:rFonts w:ascii="Quicksand" w:eastAsia="Times New Roman" w:hAnsi="Quicksand" w:cs="Times New Roman"/>
          <w:color w:val="555555"/>
          <w:sz w:val="24"/>
          <w:szCs w:val="24"/>
          <w:lang w:eastAsia="es-US"/>
        </w:rPr>
        <w:t>. Con él, veremos si lo invertido es igual a lo gastado. Si podemos sustentar el proyecto sin ganar beneficios. Encontrando el equilibro de supervivencia del proyecto.</w:t>
      </w:r>
    </w:p>
    <w:p w:rsidR="002D16E5" w:rsidRDefault="002D16E5">
      <w:bookmarkStart w:id="0" w:name="_GoBack"/>
      <w:bookmarkEnd w:id="0"/>
    </w:p>
    <w:sectPr w:rsidR="002D16E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057"/>
    <w:multiLevelType w:val="multilevel"/>
    <w:tmpl w:val="46D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E"/>
    <w:rsid w:val="001746AE"/>
    <w:rsid w:val="002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95422-36C7-4C53-9378-BFCA975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7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46AE"/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paragraph" w:styleId="NormalWeb">
    <w:name w:val="Normal (Web)"/>
    <w:basedOn w:val="Normal"/>
    <w:uiPriority w:val="99"/>
    <w:semiHidden/>
    <w:unhideWhenUsed/>
    <w:rsid w:val="0017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Textoennegrita">
    <w:name w:val="Strong"/>
    <w:basedOn w:val="Fuentedeprrafopredeter"/>
    <w:uiPriority w:val="22"/>
    <w:qFormat/>
    <w:rsid w:val="00174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2018-05-30T11:19:00Z</dcterms:created>
  <dcterms:modified xsi:type="dcterms:W3CDTF">2018-05-30T11:20:00Z</dcterms:modified>
</cp:coreProperties>
</file>