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4"/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Contextos de una tarea</w:t>
      </w:r>
    </w:p>
    <w:p w:rsidR="00000000" w:rsidDel="00000000" w:rsidP="00000000" w:rsidRDefault="00000000" w:rsidRPr="00000000" w14:paraId="00000001">
      <w:pPr>
        <w:spacing w:after="0" w:lineRule="auto"/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Rule="auto"/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Para la adquisición de las competencias clave, es esencial que el alumnado realice tareas en todos los contextos, de manera que se desarrollen habilidades y destrezas de forma equilibrada.</w:t>
      </w:r>
    </w:p>
    <w:p w:rsidR="00000000" w:rsidDel="00000000" w:rsidP="00000000" w:rsidRDefault="00000000" w:rsidRPr="00000000" w14:paraId="00000003">
      <w:pPr>
        <w:spacing w:after="0" w:before="0" w:lineRule="auto"/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Rule="auto"/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 puede diferenciar entre: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Contexto Primario: individual y familiar.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Contexto Secundario: comunitario y escolar.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Contexto Terciario: social.</w:t>
      </w:r>
    </w:p>
    <w:p w:rsidR="00000000" w:rsidDel="00000000" w:rsidP="00000000" w:rsidRDefault="00000000" w:rsidRPr="00000000" w14:paraId="00000008">
      <w:pPr>
        <w:spacing w:after="0" w:lineRule="auto"/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Rule="auto"/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Si analizamos cada uno de ellos: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Contexto individual o personal: es el referido a tareas que impliquen el desarrollo personal: la autoestima, el autoconcepto, la empatía, la seguridad…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Contexto familiar: es un contexto amplio que relaciona la familia y la escuela: el árbol genealógico, los oficios familiares…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Contexto escolar: entiende que en el centro docente se pueden desarrollar tareas comunitarias como el uso y cuidado de los recursos del mismo, como por ejemplo, de la biblioteca escolar o del aula.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Contexto comunitario o social: las prácticas sociales son las que compartimos como ciudadanas y ciudadanos de diferentes comunidades aunque pertenecemos a una misma sociedad.</w:t>
      </w:r>
    </w:p>
    <w:p w:rsidR="00000000" w:rsidDel="00000000" w:rsidP="00000000" w:rsidRDefault="00000000" w:rsidRPr="00000000" w14:paraId="0000000E">
      <w:pPr>
        <w:spacing w:after="0" w:lineRule="auto"/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Rule="auto"/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Elementos a tener en cuenta a la hora de elegir los contextos para desarrollar una tarea: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utilizar siempre ni únicamente el contexto escolar en las tareas.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Relacionar los aprendizajes con la vida cotidiana.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Vincular los aprendizajes al entorno, tanto al social (familia, amigos, barrio, pueblo...) como al natural (entorno próximo, población, comunidad...) y al entorno cultural en el que se desenvuelven.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Integrar las cosas de la vida en la escuela y las cosas de la escuela en la vida.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no sea posible realizar una contextualización real hacer una simulación lo más real posible.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Partir de situaciones-problema.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40" w:w="1190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-685799</wp:posOffset>
          </wp:positionH>
          <wp:positionV relativeFrom="paragraph">
            <wp:posOffset>-146049</wp:posOffset>
          </wp:positionV>
          <wp:extent cx="2148840" cy="166370"/>
          <wp:effectExtent b="0" l="0" r="0" t="0"/>
          <wp:wrapSquare wrapText="bothSides" distB="0" distT="0" distL="0" distR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48840" cy="16637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margin">
                <wp:posOffset>3416300</wp:posOffset>
              </wp:positionH>
              <wp:positionV relativeFrom="paragraph">
                <wp:posOffset>-139699</wp:posOffset>
              </wp:positionV>
              <wp:extent cx="2738755" cy="302260"/>
              <wp:effectExtent b="0" l="0" r="0" t="0"/>
              <wp:wrapSquare wrapText="bothSides" distB="0" distT="0" distL="0" distR="0"/>
              <wp:docPr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981385" y="3633633"/>
                        <a:ext cx="2729230" cy="292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1151.9999694824219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ahoma" w:cs="Tahoma" w:eastAsia="Tahoma" w:hAnsi="Tahoma"/>
                              <w:b w:val="1"/>
                              <w:i w:val="0"/>
                              <w:smallCaps w:val="0"/>
                              <w:strike w:val="0"/>
                              <w:color w:val="008000"/>
                              <w:sz w:val="16"/>
                              <w:vertAlign w:val="baseline"/>
                            </w:rPr>
                            <w:t xml:space="preserve">CONSEJERÍA DE EDUCACIÓN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ahoma" w:cs="Tahoma" w:eastAsia="Tahoma" w:hAnsi="Tahoma"/>
                              <w:b w:val="1"/>
                              <w:i w:val="0"/>
                              <w:smallCaps w:val="0"/>
                              <w:strike w:val="0"/>
                              <w:color w:val="008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ahoma" w:cs="Tahoma" w:eastAsia="Tahoma" w:hAnsi="Tahoma"/>
                              <w:b w:val="1"/>
                              <w:i w:val="0"/>
                              <w:smallCaps w:val="0"/>
                              <w:strike w:val="0"/>
                              <w:color w:val="008000"/>
                              <w:sz w:val="16"/>
                              <w:vertAlign w:val="baseline"/>
                            </w:rPr>
                            <w:t xml:space="preserve">Dirección General de Ordenación Educativa</w:t>
                          </w:r>
                        </w:p>
                      </w:txbxContent>
                    </wps:txbx>
                    <wps:bodyPr anchorCtr="0" anchor="t" bIns="0" lIns="0" spcFirstLastPara="1" rIns="0" wrap="square" tIns="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margin">
                <wp:posOffset>3416300</wp:posOffset>
              </wp:positionH>
              <wp:positionV relativeFrom="paragraph">
                <wp:posOffset>-139699</wp:posOffset>
              </wp:positionV>
              <wp:extent cx="2738755" cy="302260"/>
              <wp:effectExtent b="0" l="0" r="0" t="0"/>
              <wp:wrapSquare wrapText="bothSides" distB="0" distT="0" distL="0" distR="0"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38755" cy="3022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widowControl w:val="0"/>
      <w:spacing w:after="0" w:lineRule="auto"/>
      <w:ind w:left="4320" w:hanging="360"/>
      <w:contextualSpacing w:val="0"/>
      <w:jc w:val="right"/>
    </w:pPr>
    <w:rPr>
      <w:rFonts w:ascii="Tahoma" w:cs="Tahoma" w:eastAsia="Tahoma" w:hAnsi="Tahoma"/>
      <w:b w:val="1"/>
      <w:color w:val="008000"/>
      <w:sz w:val="18"/>
      <w:szCs w:val="18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