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B54" w:rsidRDefault="00487040">
      <w:pPr>
        <w:jc w:val="center"/>
        <w:rPr>
          <w:rFonts w:ascii="Century Gothic" w:eastAsia="Century Gothic" w:hAnsi="Century Gothic" w:cs="Century Gothic"/>
          <w:sz w:val="24"/>
          <w:szCs w:val="24"/>
        </w:rPr>
      </w:pPr>
      <w:bookmarkStart w:id="0" w:name="_gjdgxs" w:colFirst="0" w:colLast="0"/>
      <w:bookmarkEnd w:id="0"/>
      <w:r>
        <w:rPr>
          <w:rFonts w:ascii="Century Gothic" w:eastAsia="Century Gothic" w:hAnsi="Century Gothic" w:cs="Century Gothic"/>
          <w:b/>
          <w:sz w:val="24"/>
          <w:szCs w:val="24"/>
        </w:rPr>
        <w:t xml:space="preserve">TAREA 1. MÓDULO 2. </w:t>
      </w:r>
      <w:r>
        <w:rPr>
          <w:rFonts w:ascii="Century Gothic" w:eastAsia="Century Gothic" w:hAnsi="Century Gothic" w:cs="Century Gothic"/>
          <w:sz w:val="24"/>
          <w:szCs w:val="24"/>
        </w:rPr>
        <w:t xml:space="preserve">Realizaremos primero una </w:t>
      </w:r>
      <w:r>
        <w:rPr>
          <w:rFonts w:ascii="Century Gothic" w:eastAsia="Century Gothic" w:hAnsi="Century Gothic" w:cs="Century Gothic"/>
          <w:b/>
          <w:sz w:val="24"/>
          <w:szCs w:val="24"/>
        </w:rPr>
        <w:t>valoración individual</w:t>
      </w:r>
      <w:r>
        <w:rPr>
          <w:rFonts w:ascii="Century Gothic" w:eastAsia="Century Gothic" w:hAnsi="Century Gothic" w:cs="Century Gothic"/>
          <w:sz w:val="24"/>
          <w:szCs w:val="24"/>
        </w:rPr>
        <w:t xml:space="preserve"> del material con el que trabajamos en clase utilizando la </w:t>
      </w:r>
      <w:r>
        <w:rPr>
          <w:rFonts w:ascii="Century Gothic" w:eastAsia="Century Gothic" w:hAnsi="Century Gothic" w:cs="Century Gothic"/>
          <w:b/>
          <w:sz w:val="24"/>
          <w:szCs w:val="24"/>
        </w:rPr>
        <w:t>ficha 1</w:t>
      </w:r>
      <w:r>
        <w:rPr>
          <w:rFonts w:ascii="Century Gothic" w:eastAsia="Century Gothic" w:hAnsi="Century Gothic" w:cs="Century Gothic"/>
          <w:sz w:val="24"/>
          <w:szCs w:val="24"/>
        </w:rPr>
        <w:t xml:space="preserve"> y luego haremos una </w:t>
      </w:r>
      <w:r>
        <w:rPr>
          <w:rFonts w:ascii="Century Gothic" w:eastAsia="Century Gothic" w:hAnsi="Century Gothic" w:cs="Century Gothic"/>
          <w:b/>
          <w:sz w:val="24"/>
          <w:szCs w:val="24"/>
        </w:rPr>
        <w:t>puesta en común</w:t>
      </w:r>
      <w:r>
        <w:rPr>
          <w:rFonts w:ascii="Century Gothic" w:eastAsia="Century Gothic" w:hAnsi="Century Gothic" w:cs="Century Gothic"/>
          <w:sz w:val="24"/>
          <w:szCs w:val="24"/>
        </w:rPr>
        <w:t xml:space="preserve"> por grupos (podría realizarse por departamento, por equipos educativos, etc…) y recogeremos  en </w:t>
      </w:r>
      <w:r>
        <w:rPr>
          <w:rFonts w:ascii="Century Gothic" w:eastAsia="Century Gothic" w:hAnsi="Century Gothic" w:cs="Century Gothic"/>
          <w:b/>
          <w:sz w:val="24"/>
          <w:szCs w:val="24"/>
        </w:rPr>
        <w:t>la ficha</w:t>
      </w:r>
      <w:r>
        <w:rPr>
          <w:rFonts w:ascii="Century Gothic" w:eastAsia="Century Gothic" w:hAnsi="Century Gothic" w:cs="Century Gothic"/>
          <w:sz w:val="24"/>
          <w:szCs w:val="24"/>
        </w:rPr>
        <w:t xml:space="preserve"> 2  las principales conclusiones del análisis. Esta última es la que tenemos que entregar como  tarea del grupo. </w:t>
      </w: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355B54">
      <w:pPr>
        <w:jc w:val="center"/>
        <w:rPr>
          <w:rFonts w:ascii="Century Gothic" w:eastAsia="Century Gothic" w:hAnsi="Century Gothic" w:cs="Century Gothic"/>
          <w:b/>
          <w:sz w:val="24"/>
          <w:szCs w:val="24"/>
        </w:rPr>
      </w:pPr>
    </w:p>
    <w:p w:rsidR="00355B54" w:rsidRDefault="0048704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FICHA 1</w:t>
      </w:r>
      <w:proofErr w:type="gramStart"/>
      <w:r>
        <w:rPr>
          <w:rFonts w:ascii="Century Gothic" w:eastAsia="Century Gothic" w:hAnsi="Century Gothic" w:cs="Century Gothic"/>
          <w:b/>
          <w:sz w:val="24"/>
          <w:szCs w:val="24"/>
        </w:rPr>
        <w:t>.(</w:t>
      </w:r>
      <w:proofErr w:type="gramEnd"/>
      <w:r>
        <w:rPr>
          <w:rFonts w:ascii="Century Gothic" w:eastAsia="Century Gothic" w:hAnsi="Century Gothic" w:cs="Century Gothic"/>
          <w:b/>
          <w:sz w:val="24"/>
          <w:szCs w:val="24"/>
        </w:rPr>
        <w:t>INDIVIDUAL) A</w:t>
      </w:r>
      <w:r>
        <w:rPr>
          <w:rFonts w:ascii="Century Gothic" w:eastAsia="Century Gothic" w:hAnsi="Century Gothic" w:cs="Century Gothic"/>
          <w:b/>
          <w:sz w:val="24"/>
          <w:szCs w:val="24"/>
        </w:rPr>
        <w:t>NÁLISIS DE UNA ACTIVIDAD CON LA QUE ESTEMOS TRABAJANDO ACTUALMENTE</w:t>
      </w:r>
    </w:p>
    <w:tbl>
      <w:tblPr>
        <w:tblStyle w:val="a"/>
        <w:tblW w:w="14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3825"/>
        <w:gridCol w:w="4020"/>
        <w:gridCol w:w="4065"/>
      </w:tblGrid>
      <w:tr w:rsidR="00355B54">
        <w:trPr>
          <w:trHeight w:val="2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Nivel</w:t>
            </w:r>
          </w:p>
        </w:tc>
        <w:tc>
          <w:tcPr>
            <w:tcW w:w="11910" w:type="dxa"/>
            <w:gridSpan w:val="3"/>
          </w:tcPr>
          <w:p w:rsidR="00355B54" w:rsidRDefault="00487040">
            <w:pPr>
              <w:widowControl/>
              <w:rPr>
                <w:rFonts w:ascii="Century Gothic" w:eastAsia="Century Gothic" w:hAnsi="Century Gothic" w:cs="Century Gothic"/>
                <w:sz w:val="24"/>
                <w:szCs w:val="24"/>
              </w:rPr>
            </w:pPr>
            <w:r>
              <w:rPr>
                <w:rFonts w:ascii="Century Gothic" w:eastAsia="Century Gothic" w:hAnsi="Century Gothic" w:cs="Century Gothic"/>
                <w:sz w:val="24"/>
                <w:szCs w:val="24"/>
              </w:rPr>
              <w:t>1º ESO</w:t>
            </w:r>
          </w:p>
        </w:tc>
      </w:tr>
      <w:tr w:rsidR="00355B54">
        <w:trPr>
          <w:trHeight w:val="2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Materia o materias</w:t>
            </w:r>
          </w:p>
        </w:tc>
        <w:tc>
          <w:tcPr>
            <w:tcW w:w="11910" w:type="dxa"/>
            <w:gridSpan w:val="3"/>
          </w:tcPr>
          <w:p w:rsidR="00355B54" w:rsidRDefault="00487040">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BYG</w:t>
            </w:r>
          </w:p>
        </w:tc>
      </w:tr>
      <w:tr w:rsidR="00355B54">
        <w:trPr>
          <w:trHeight w:val="2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Material aportado</w:t>
            </w:r>
          </w:p>
        </w:tc>
        <w:tc>
          <w:tcPr>
            <w:tcW w:w="11910" w:type="dxa"/>
            <w:gridSpan w:val="3"/>
          </w:tcPr>
          <w:p w:rsidR="00355B54" w:rsidRDefault="00487040">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GUION DE LA ACTIVIDAD, DISPOSITIVOS MÓVILES Y ORDENADORES</w:t>
            </w:r>
          </w:p>
        </w:tc>
      </w:tr>
      <w:tr w:rsidR="00355B54">
        <w:trPr>
          <w:trHeight w:val="2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Competencias clave</w:t>
            </w:r>
          </w:p>
          <w:p w:rsidR="00355B54" w:rsidRDefault="00355B54">
            <w:pPr>
              <w:spacing w:after="200" w:line="276" w:lineRule="auto"/>
              <w:rPr>
                <w:rFonts w:ascii="Century Gothic" w:eastAsia="Century Gothic" w:hAnsi="Century Gothic" w:cs="Century Gothic"/>
                <w:b/>
                <w:sz w:val="24"/>
                <w:szCs w:val="24"/>
              </w:rPr>
            </w:pPr>
          </w:p>
          <w:p w:rsidR="00355B54" w:rsidRDefault="00355B54">
            <w:pPr>
              <w:spacing w:after="200" w:line="276" w:lineRule="auto"/>
              <w:rPr>
                <w:rFonts w:ascii="Century Gothic" w:eastAsia="Century Gothic" w:hAnsi="Century Gothic" w:cs="Century Gothic"/>
                <w:b/>
                <w:sz w:val="24"/>
                <w:szCs w:val="24"/>
              </w:rPr>
            </w:pPr>
          </w:p>
        </w:tc>
        <w:tc>
          <w:tcPr>
            <w:tcW w:w="11910" w:type="dxa"/>
            <w:gridSpan w:val="3"/>
          </w:tcPr>
          <w:p w:rsidR="00355B54" w:rsidRDefault="00487040">
            <w:pPr>
              <w:spacing w:after="200" w:line="276" w:lineRule="auto"/>
              <w:rPr>
                <w:rFonts w:ascii="Century Gothic" w:eastAsia="Century Gothic" w:hAnsi="Century Gothic" w:cs="Century Gothic"/>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Comunicación lingüística</w:t>
            </w:r>
          </w:p>
          <w:p w:rsidR="00355B54" w:rsidRDefault="00487040">
            <w:pPr>
              <w:spacing w:after="200" w:line="276" w:lineRule="auto"/>
              <w:rPr>
                <w:rFonts w:ascii="Century Gothic" w:eastAsia="Century Gothic" w:hAnsi="Century Gothic" w:cs="Century Gothic"/>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Competencia matemática y competencias básicas en ciencia y tecnología</w:t>
            </w:r>
          </w:p>
          <w:p w:rsidR="00355B54" w:rsidRDefault="00487040">
            <w:pPr>
              <w:spacing w:after="200" w:line="276" w:lineRule="auto"/>
              <w:rPr>
                <w:rFonts w:ascii="Century Gothic" w:eastAsia="Century Gothic" w:hAnsi="Century Gothic" w:cs="Century Gothic"/>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Competencia digital</w:t>
            </w:r>
          </w:p>
          <w:p w:rsidR="00355B54" w:rsidRDefault="00487040">
            <w:pPr>
              <w:spacing w:after="200" w:line="276" w:lineRule="auto"/>
              <w:rPr>
                <w:rFonts w:ascii="Century Gothic" w:eastAsia="Century Gothic" w:hAnsi="Century Gothic" w:cs="Century Gothic"/>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Aprender a aprender</w:t>
            </w:r>
          </w:p>
          <w:p w:rsidR="00355B54" w:rsidRDefault="00487040">
            <w:pPr>
              <w:spacing w:after="200" w:line="276" w:lineRule="auto"/>
              <w:rPr>
                <w:rFonts w:ascii="Century Gothic" w:eastAsia="Century Gothic" w:hAnsi="Century Gothic" w:cs="Century Gothic"/>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Competencias sociales y cívicas</w:t>
            </w:r>
          </w:p>
          <w:p w:rsidR="00355B54" w:rsidRDefault="00487040">
            <w:pPr>
              <w:spacing w:after="200" w:line="276" w:lineRule="auto"/>
              <w:rPr>
                <w:rFonts w:ascii="Century Gothic" w:eastAsia="Century Gothic" w:hAnsi="Century Gothic" w:cs="Century Gothic"/>
                <w:b/>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Sentido de iniciativa y espíritu emprendedor</w:t>
            </w:r>
          </w:p>
        </w:tc>
      </w:tr>
      <w:tr w:rsidR="00355B54">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Procesos cognitivos</w:t>
            </w:r>
          </w:p>
          <w:p w:rsidR="00355B54" w:rsidRDefault="00355B54">
            <w:pPr>
              <w:spacing w:after="200" w:line="276" w:lineRule="auto"/>
              <w:rPr>
                <w:rFonts w:ascii="Century Gothic" w:eastAsia="Century Gothic" w:hAnsi="Century Gothic" w:cs="Century Gothic"/>
                <w:b/>
                <w:sz w:val="24"/>
                <w:szCs w:val="24"/>
              </w:rPr>
            </w:pPr>
          </w:p>
        </w:tc>
        <w:tc>
          <w:tcPr>
            <w:tcW w:w="3825"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De nivel bajo:</w:t>
            </w:r>
          </w:p>
          <w:p w:rsidR="00355B54" w:rsidRDefault="00487040">
            <w:pPr>
              <w:spacing w:after="200" w:line="276" w:lineRule="auto"/>
              <w:rPr>
                <w:rFonts w:ascii="Century Gothic" w:eastAsia="Century Gothic" w:hAnsi="Century Gothic" w:cs="Century Gothic"/>
                <w:sz w:val="24"/>
                <w:szCs w:val="24"/>
              </w:rPr>
            </w:pPr>
            <w:r>
              <w:rPr>
                <w:rFonts w:ascii="Noto Sans Symbols" w:eastAsia="Noto Sans Symbols" w:hAnsi="Noto Sans Symbols" w:cs="Noto Sans Symbols"/>
                <w:sz w:val="24"/>
                <w:szCs w:val="24"/>
              </w:rPr>
              <w:t>⬜</w:t>
            </w:r>
            <w:r>
              <w:rPr>
                <w:rFonts w:ascii="Wingdings 2" w:eastAsia="Wingdings 2" w:hAnsi="Wingdings 2" w:cs="Wingdings 2"/>
                <w:sz w:val="24"/>
                <w:szCs w:val="24"/>
              </w:rPr>
              <w:t>⬜</w:t>
            </w:r>
            <w:r>
              <w:rPr>
                <w:rFonts w:ascii="Century Gothic" w:eastAsia="Century Gothic" w:hAnsi="Century Gothic" w:cs="Century Gothic"/>
                <w:sz w:val="24"/>
                <w:szCs w:val="24"/>
              </w:rPr>
              <w:t xml:space="preserve"> Comprender   </w:t>
            </w:r>
          </w:p>
        </w:tc>
        <w:tc>
          <w:tcPr>
            <w:tcW w:w="4020"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De nivel medio:</w:t>
            </w:r>
          </w:p>
          <w:p w:rsidR="00355B54" w:rsidRDefault="00487040">
            <w:pPr>
              <w:spacing w:after="200" w:line="276" w:lineRule="auto"/>
              <w:rPr>
                <w:rFonts w:ascii="Noto Sans Symbols" w:eastAsia="Noto Sans Symbols" w:hAnsi="Noto Sans Symbols" w:cs="Noto Sans Symbols"/>
                <w:sz w:val="24"/>
                <w:szCs w:val="24"/>
              </w:rPr>
            </w:pPr>
            <w:r>
              <w:rPr>
                <w:rFonts w:ascii="Century Gothic" w:eastAsia="Century Gothic" w:hAnsi="Century Gothic" w:cs="Century Gothic"/>
                <w:sz w:val="24"/>
                <w:szCs w:val="24"/>
              </w:rPr>
              <w:t xml:space="preserve">  </w:t>
            </w:r>
            <w:r>
              <w:rPr>
                <w:rFonts w:ascii="Wingdings 2" w:eastAsia="Wingdings 2" w:hAnsi="Wingdings 2" w:cs="Wingdings 2"/>
                <w:sz w:val="24"/>
                <w:szCs w:val="24"/>
              </w:rPr>
              <w:t>⬜</w:t>
            </w:r>
            <w:r>
              <w:rPr>
                <w:rFonts w:ascii="Century Gothic" w:eastAsia="Century Gothic" w:hAnsi="Century Gothic" w:cs="Century Gothic"/>
                <w:sz w:val="24"/>
                <w:szCs w:val="24"/>
              </w:rPr>
              <w:t xml:space="preserve"> Aplicar</w:t>
            </w:r>
          </w:p>
          <w:p w:rsidR="00355B54" w:rsidRDefault="00487040">
            <w:pPr>
              <w:spacing w:after="200" w:line="276" w:lineRule="auto"/>
              <w:rPr>
                <w:rFonts w:ascii="Century Gothic" w:eastAsia="Century Gothic" w:hAnsi="Century Gothic" w:cs="Century Gothic"/>
                <w:sz w:val="24"/>
                <w:szCs w:val="24"/>
              </w:rPr>
            </w:pPr>
            <w:r>
              <w:rPr>
                <w:rFonts w:ascii="Noto Sans Symbols" w:eastAsia="Noto Sans Symbols" w:hAnsi="Noto Sans Symbols" w:cs="Noto Sans Symbols"/>
                <w:sz w:val="24"/>
                <w:szCs w:val="24"/>
              </w:rPr>
              <w:t>⬜</w:t>
            </w:r>
            <w:r>
              <w:rPr>
                <w:rFonts w:ascii="Wingdings 2" w:eastAsia="Wingdings 2" w:hAnsi="Wingdings 2" w:cs="Wingdings 2"/>
                <w:sz w:val="24"/>
                <w:szCs w:val="24"/>
              </w:rPr>
              <w:t>⬜</w:t>
            </w:r>
            <w:r>
              <w:rPr>
                <w:rFonts w:ascii="Century Gothic" w:eastAsia="Century Gothic" w:hAnsi="Century Gothic" w:cs="Century Gothic"/>
                <w:sz w:val="24"/>
                <w:szCs w:val="24"/>
              </w:rPr>
              <w:t xml:space="preserve">  Analizar    </w:t>
            </w:r>
          </w:p>
        </w:tc>
        <w:tc>
          <w:tcPr>
            <w:tcW w:w="4065" w:type="dxa"/>
          </w:tcPr>
          <w:p w:rsidR="00355B54" w:rsidRDefault="00487040">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De nivel alto:</w:t>
            </w:r>
          </w:p>
          <w:p w:rsidR="00355B54" w:rsidRDefault="00487040">
            <w:pPr>
              <w:spacing w:after="200" w:line="276" w:lineRule="auto"/>
              <w:rPr>
                <w:rFonts w:ascii="Century Gothic" w:eastAsia="Century Gothic" w:hAnsi="Century Gothic" w:cs="Century Gothic"/>
                <w:sz w:val="24"/>
                <w:szCs w:val="24"/>
              </w:rPr>
            </w:pPr>
            <w:r>
              <w:rPr>
                <w:rFonts w:ascii="Noto Sans Symbols" w:eastAsia="Noto Sans Symbols" w:hAnsi="Noto Sans Symbols" w:cs="Noto Sans Symbols"/>
                <w:sz w:val="24"/>
                <w:szCs w:val="24"/>
              </w:rPr>
              <w:t>⬜</w:t>
            </w:r>
            <w:r>
              <w:rPr>
                <w:rFonts w:ascii="Wingdings 2" w:eastAsia="Wingdings 2" w:hAnsi="Wingdings 2" w:cs="Wingdings 2"/>
                <w:sz w:val="24"/>
                <w:szCs w:val="24"/>
              </w:rPr>
              <w:t>⬜</w:t>
            </w:r>
            <w:r>
              <w:rPr>
                <w:rFonts w:ascii="Century Gothic" w:eastAsia="Century Gothic" w:hAnsi="Century Gothic" w:cs="Century Gothic"/>
                <w:sz w:val="24"/>
                <w:szCs w:val="24"/>
              </w:rPr>
              <w:t xml:space="preserve"> Crear           </w:t>
            </w:r>
          </w:p>
          <w:p w:rsidR="00355B54" w:rsidRDefault="00487040">
            <w:pPr>
              <w:spacing w:after="200" w:line="276" w:lineRule="auto"/>
              <w:rPr>
                <w:rFonts w:ascii="Century Gothic" w:eastAsia="Century Gothic" w:hAnsi="Century Gothic" w:cs="Century Gothic"/>
                <w:b/>
                <w:sz w:val="24"/>
                <w:szCs w:val="24"/>
              </w:rPr>
            </w:pPr>
            <w:r>
              <w:rPr>
                <w:rFonts w:ascii="Noto Sans Symbols" w:eastAsia="Noto Sans Symbols" w:hAnsi="Noto Sans Symbols" w:cs="Noto Sans Symbols"/>
                <w:sz w:val="24"/>
                <w:szCs w:val="24"/>
              </w:rPr>
              <w:t>⬜</w:t>
            </w:r>
            <w:r>
              <w:rPr>
                <w:rFonts w:ascii="Wingdings 2" w:eastAsia="Wingdings 2" w:hAnsi="Wingdings 2" w:cs="Wingdings 2"/>
                <w:sz w:val="24"/>
                <w:szCs w:val="24"/>
              </w:rPr>
              <w:t>⬜</w:t>
            </w:r>
            <w:r>
              <w:rPr>
                <w:rFonts w:ascii="Century Gothic" w:eastAsia="Century Gothic" w:hAnsi="Century Gothic" w:cs="Century Gothic"/>
                <w:sz w:val="24"/>
                <w:szCs w:val="24"/>
              </w:rPr>
              <w:t xml:space="preserve">  Evaluar     </w:t>
            </w:r>
          </w:p>
        </w:tc>
      </w:tr>
      <w:tr w:rsidR="00355B54">
        <w:trPr>
          <w:trHeight w:val="4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Ejercicio, actividad o tarea</w:t>
            </w:r>
          </w:p>
        </w:tc>
        <w:tc>
          <w:tcPr>
            <w:tcW w:w="11910" w:type="dxa"/>
            <w:gridSpan w:val="3"/>
          </w:tcPr>
          <w:p w:rsidR="00355B54" w:rsidRDefault="00487040">
            <w:pPr>
              <w:widowControl/>
              <w:jc w:val="both"/>
              <w:rPr>
                <w:sz w:val="24"/>
                <w:szCs w:val="24"/>
              </w:rPr>
            </w:pPr>
            <w:r>
              <w:rPr>
                <w:sz w:val="24"/>
                <w:szCs w:val="24"/>
              </w:rPr>
              <w:t>En alumnado, que previamente ha trabajado ejercicios en clase sobre la unidad didáctica 3,  que aborda el tema de los invertebrados, deberá realizar por grupos la siguiente tarea que se compone de varias actividades detalladas a continuación:</w:t>
            </w:r>
          </w:p>
          <w:p w:rsidR="00355B54" w:rsidRDefault="00355B54">
            <w:pPr>
              <w:widowControl/>
              <w:jc w:val="both"/>
              <w:rPr>
                <w:sz w:val="24"/>
                <w:szCs w:val="24"/>
              </w:rPr>
            </w:pPr>
          </w:p>
          <w:p w:rsidR="00355B54" w:rsidRDefault="00487040">
            <w:pPr>
              <w:numPr>
                <w:ilvl w:val="0"/>
                <w:numId w:val="1"/>
              </w:numPr>
              <w:contextualSpacing/>
              <w:jc w:val="both"/>
              <w:rPr>
                <w:sz w:val="24"/>
                <w:szCs w:val="24"/>
              </w:rPr>
            </w:pPr>
            <w:r>
              <w:rPr>
                <w:sz w:val="24"/>
                <w:szCs w:val="24"/>
              </w:rPr>
              <w:t>Un estudio p</w:t>
            </w:r>
            <w:r>
              <w:rPr>
                <w:sz w:val="24"/>
                <w:szCs w:val="24"/>
              </w:rPr>
              <w:t>revio sobre las características de la especie buscando información en la red a partir de un guion orientativo que podrá ser ampliado o modificado según las preferencias de investigación de cada grupo.</w:t>
            </w:r>
          </w:p>
          <w:p w:rsidR="00355B54" w:rsidRDefault="00355B54">
            <w:pPr>
              <w:ind w:left="720"/>
              <w:jc w:val="both"/>
              <w:rPr>
                <w:sz w:val="24"/>
                <w:szCs w:val="24"/>
              </w:rPr>
            </w:pPr>
          </w:p>
          <w:p w:rsidR="00355B54" w:rsidRDefault="00487040">
            <w:pPr>
              <w:numPr>
                <w:ilvl w:val="0"/>
                <w:numId w:val="1"/>
              </w:numPr>
              <w:contextualSpacing/>
              <w:jc w:val="both"/>
              <w:rPr>
                <w:sz w:val="24"/>
                <w:szCs w:val="24"/>
              </w:rPr>
            </w:pPr>
            <w:r>
              <w:rPr>
                <w:sz w:val="24"/>
                <w:szCs w:val="24"/>
              </w:rPr>
              <w:t>Un protocolo de prácticas. Un guion que ayude a cualquiera que desee hacer una disección a conocer las estructuras que podrá encontrar en él y las características que presentan estas estructuras.</w:t>
            </w:r>
          </w:p>
          <w:p w:rsidR="00355B54" w:rsidRDefault="00355B54">
            <w:pPr>
              <w:ind w:left="720"/>
              <w:jc w:val="both"/>
              <w:rPr>
                <w:sz w:val="24"/>
                <w:szCs w:val="24"/>
              </w:rPr>
            </w:pPr>
          </w:p>
          <w:p w:rsidR="00355B54" w:rsidRDefault="00487040">
            <w:pPr>
              <w:numPr>
                <w:ilvl w:val="0"/>
                <w:numId w:val="1"/>
              </w:numPr>
              <w:contextualSpacing/>
              <w:jc w:val="both"/>
              <w:rPr>
                <w:sz w:val="24"/>
                <w:szCs w:val="24"/>
              </w:rPr>
            </w:pPr>
            <w:r>
              <w:rPr>
                <w:sz w:val="24"/>
                <w:szCs w:val="24"/>
              </w:rPr>
              <w:t>Una exposición de la anatomía y fisiología de este inverteb</w:t>
            </w:r>
            <w:r>
              <w:rPr>
                <w:sz w:val="24"/>
                <w:szCs w:val="24"/>
              </w:rPr>
              <w:t>rado haciendo comparaciones con otros grupos también de invertebrados que ya han sido estudiados.</w:t>
            </w:r>
          </w:p>
          <w:p w:rsidR="00355B54" w:rsidRDefault="00355B54">
            <w:pPr>
              <w:ind w:left="720"/>
              <w:jc w:val="both"/>
              <w:rPr>
                <w:sz w:val="24"/>
                <w:szCs w:val="24"/>
              </w:rPr>
            </w:pPr>
          </w:p>
          <w:p w:rsidR="00355B54" w:rsidRDefault="00487040">
            <w:pPr>
              <w:numPr>
                <w:ilvl w:val="0"/>
                <w:numId w:val="1"/>
              </w:numPr>
              <w:contextualSpacing/>
              <w:jc w:val="both"/>
              <w:rPr>
                <w:sz w:val="24"/>
                <w:szCs w:val="24"/>
              </w:rPr>
            </w:pPr>
            <w:r>
              <w:rPr>
                <w:sz w:val="24"/>
                <w:szCs w:val="24"/>
              </w:rPr>
              <w:t>Una disección del animal en el laboratorio haciendo uso del instrumental adecuado y respetando las normas de laboratorio que ya han sido trabajadas en unidad</w:t>
            </w:r>
            <w:r>
              <w:rPr>
                <w:sz w:val="24"/>
                <w:szCs w:val="24"/>
              </w:rPr>
              <w:t>es anteriores.</w:t>
            </w:r>
          </w:p>
          <w:p w:rsidR="00355B54" w:rsidRDefault="00355B54">
            <w:pPr>
              <w:spacing w:after="200" w:line="276" w:lineRule="auto"/>
              <w:jc w:val="both"/>
              <w:rPr>
                <w:rFonts w:ascii="Century Gothic" w:eastAsia="Century Gothic" w:hAnsi="Century Gothic" w:cs="Century Gothic"/>
                <w:b/>
                <w:sz w:val="24"/>
                <w:szCs w:val="24"/>
              </w:rPr>
            </w:pPr>
          </w:p>
        </w:tc>
      </w:tr>
      <w:tr w:rsidR="00355B54">
        <w:trPr>
          <w:trHeight w:val="56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Criterios de evaluación</w:t>
            </w:r>
          </w:p>
        </w:tc>
        <w:tc>
          <w:tcPr>
            <w:tcW w:w="11910" w:type="dxa"/>
            <w:gridSpan w:val="3"/>
          </w:tcPr>
          <w:p w:rsidR="00355B54" w:rsidRDefault="00487040">
            <w:pPr>
              <w:widowControl/>
              <w:jc w:val="both"/>
              <w:rPr>
                <w:b/>
                <w:sz w:val="24"/>
                <w:szCs w:val="24"/>
              </w:rPr>
            </w:pPr>
            <w:r>
              <w:rPr>
                <w:b/>
                <w:sz w:val="24"/>
                <w:szCs w:val="24"/>
              </w:rPr>
              <w:t>BLOQUE 1. Habilidades, destrezas y estrategias. Metodología científica.</w:t>
            </w:r>
          </w:p>
          <w:p w:rsidR="00355B54" w:rsidRDefault="00487040">
            <w:pPr>
              <w:widowControl/>
              <w:jc w:val="both"/>
              <w:rPr>
                <w:color w:val="00000A"/>
              </w:rPr>
            </w:pPr>
            <w:r>
              <w:rPr>
                <w:color w:val="00000A"/>
              </w:rPr>
              <w:t>1. Utilizar adecuadamente el vocabulario científico en un contexto adecuado a su nivel. CCL, CMCT, CEC.</w:t>
            </w:r>
          </w:p>
          <w:p w:rsidR="00355B54" w:rsidRDefault="00355B54">
            <w:pPr>
              <w:widowControl/>
              <w:jc w:val="both"/>
              <w:rPr>
                <w:color w:val="00000A"/>
              </w:rPr>
            </w:pPr>
          </w:p>
          <w:p w:rsidR="00355B54" w:rsidRDefault="00487040">
            <w:pPr>
              <w:widowControl/>
              <w:jc w:val="both"/>
              <w:rPr>
                <w:color w:val="00000A"/>
              </w:rPr>
            </w:pPr>
            <w:r>
              <w:rPr>
                <w:color w:val="00000A"/>
              </w:rPr>
              <w:t>2. Buscar, seleccionar e interpretar la información de carácter científico y utilizar dicha información para formarse una opinión propia, expresarse adecuadamente y argumentar sobre problemas relacionados con el medio natural y la salud. CCL, CMCT, CD, CAA</w:t>
            </w:r>
            <w:r>
              <w:rPr>
                <w:color w:val="00000A"/>
              </w:rPr>
              <w:t>, CSC, CEC.</w:t>
            </w:r>
          </w:p>
          <w:p w:rsidR="00355B54" w:rsidRDefault="00355B54">
            <w:pPr>
              <w:widowControl/>
              <w:jc w:val="both"/>
              <w:rPr>
                <w:color w:val="00000A"/>
              </w:rPr>
            </w:pPr>
          </w:p>
          <w:p w:rsidR="00355B54" w:rsidRDefault="00487040">
            <w:pPr>
              <w:widowControl/>
              <w:jc w:val="both"/>
              <w:rPr>
                <w:color w:val="00000A"/>
              </w:rPr>
            </w:pPr>
            <w:r>
              <w:rPr>
                <w:color w:val="00000A"/>
              </w:rPr>
              <w:t>3. Realizar un trabajo experimental con ayuda de un guion de prácticas de laboratorio o de campo describiendo su ejecución e interpretando sus resultados. CCL, CMCT, CAA, SIEP.</w:t>
            </w:r>
          </w:p>
          <w:p w:rsidR="00355B54" w:rsidRDefault="00355B54">
            <w:pPr>
              <w:widowControl/>
              <w:jc w:val="both"/>
              <w:rPr>
                <w:color w:val="00000A"/>
              </w:rPr>
            </w:pPr>
          </w:p>
          <w:p w:rsidR="00355B54" w:rsidRDefault="00487040">
            <w:pPr>
              <w:widowControl/>
              <w:jc w:val="both"/>
              <w:rPr>
                <w:color w:val="00000A"/>
              </w:rPr>
            </w:pPr>
            <w:r>
              <w:rPr>
                <w:color w:val="00000A"/>
              </w:rPr>
              <w:t>4. Utilizar correctamente los materiales e instrumentos básicos de un laboratorio, respetando las normas de seguridad del mismo. CMCT, CAA, CSC.</w:t>
            </w:r>
          </w:p>
          <w:p w:rsidR="00355B54" w:rsidRDefault="00355B54">
            <w:pPr>
              <w:ind w:left="720"/>
              <w:jc w:val="both"/>
              <w:rPr>
                <w:sz w:val="24"/>
                <w:szCs w:val="24"/>
              </w:rPr>
            </w:pPr>
          </w:p>
          <w:p w:rsidR="00355B54" w:rsidRDefault="00355B54">
            <w:pPr>
              <w:widowControl/>
              <w:jc w:val="both"/>
              <w:rPr>
                <w:b/>
                <w:sz w:val="24"/>
                <w:szCs w:val="24"/>
              </w:rPr>
            </w:pPr>
          </w:p>
          <w:p w:rsidR="00355B54" w:rsidRDefault="00487040">
            <w:pPr>
              <w:widowControl/>
              <w:jc w:val="both"/>
              <w:rPr>
                <w:b/>
                <w:sz w:val="24"/>
                <w:szCs w:val="24"/>
              </w:rPr>
            </w:pPr>
            <w:r>
              <w:rPr>
                <w:b/>
                <w:sz w:val="24"/>
                <w:szCs w:val="24"/>
              </w:rPr>
              <w:t>BLOQUE 3. La biodiversidad en el planeta Tierra</w:t>
            </w:r>
          </w:p>
          <w:p w:rsidR="00355B54" w:rsidRDefault="00487040">
            <w:pPr>
              <w:widowControl/>
              <w:jc w:val="both"/>
              <w:rPr>
                <w:color w:val="00000A"/>
              </w:rPr>
            </w:pPr>
            <w:r>
              <w:rPr>
                <w:color w:val="00000A"/>
              </w:rPr>
              <w:t>2. Describir las funciones comunes a todos los seres vivos, d</w:t>
            </w:r>
            <w:r>
              <w:rPr>
                <w:color w:val="00000A"/>
              </w:rPr>
              <w:t>iferenciando entre nutrición autótrofa y heterótrofa. CCL, CMCT.</w:t>
            </w:r>
          </w:p>
          <w:p w:rsidR="00355B54" w:rsidRDefault="00355B54">
            <w:pPr>
              <w:widowControl/>
              <w:jc w:val="both"/>
              <w:rPr>
                <w:color w:val="00000A"/>
              </w:rPr>
            </w:pPr>
          </w:p>
          <w:p w:rsidR="00355B54" w:rsidRDefault="00487040">
            <w:pPr>
              <w:widowControl/>
              <w:jc w:val="both"/>
              <w:rPr>
                <w:color w:val="00000A"/>
              </w:rPr>
            </w:pPr>
            <w:r>
              <w:rPr>
                <w:color w:val="00000A"/>
              </w:rPr>
              <w:t xml:space="preserve">3. Reconocer las características morfológicas principales de los distintos grupos taxonómicos. CMCT. </w:t>
            </w:r>
          </w:p>
          <w:p w:rsidR="00355B54" w:rsidRDefault="00355B54">
            <w:pPr>
              <w:widowControl/>
              <w:jc w:val="both"/>
              <w:rPr>
                <w:color w:val="00000A"/>
              </w:rPr>
            </w:pPr>
          </w:p>
          <w:p w:rsidR="00355B54" w:rsidRDefault="00487040">
            <w:pPr>
              <w:widowControl/>
              <w:jc w:val="both"/>
              <w:rPr>
                <w:color w:val="00000A"/>
              </w:rPr>
            </w:pPr>
            <w:r>
              <w:rPr>
                <w:color w:val="00000A"/>
              </w:rPr>
              <w:t>4. Categorizar los criterios que sirven para clasificar a los seres vivos e identificar</w:t>
            </w:r>
            <w:r>
              <w:rPr>
                <w:color w:val="00000A"/>
              </w:rPr>
              <w:t xml:space="preserve"> los principales modelos taxonómicos a los que pertenecen los animales y plantas más comunes. CMCT, CAA.</w:t>
            </w:r>
          </w:p>
          <w:p w:rsidR="00355B54" w:rsidRDefault="00355B54">
            <w:pPr>
              <w:widowControl/>
              <w:jc w:val="both"/>
              <w:rPr>
                <w:color w:val="00000A"/>
              </w:rPr>
            </w:pPr>
          </w:p>
          <w:p w:rsidR="00355B54" w:rsidRDefault="00487040">
            <w:pPr>
              <w:widowControl/>
              <w:jc w:val="both"/>
              <w:rPr>
                <w:color w:val="00000A"/>
              </w:rPr>
            </w:pPr>
            <w:r>
              <w:rPr>
                <w:color w:val="00000A"/>
              </w:rPr>
              <w:t xml:space="preserve">5. Describir las características generales de los grandes grupos taxonómicos y explicar su importancia en el conjunto de los seres </w:t>
            </w:r>
            <w:r>
              <w:rPr>
                <w:color w:val="00000A"/>
              </w:rPr>
              <w:lastRenderedPageBreak/>
              <w:t>vivos. CMCT.</w:t>
            </w:r>
          </w:p>
          <w:p w:rsidR="00355B54" w:rsidRDefault="00355B54">
            <w:pPr>
              <w:widowControl/>
              <w:jc w:val="both"/>
              <w:rPr>
                <w:color w:val="00000A"/>
              </w:rPr>
            </w:pPr>
          </w:p>
          <w:p w:rsidR="00355B54" w:rsidRDefault="00487040">
            <w:pPr>
              <w:widowControl/>
              <w:jc w:val="both"/>
              <w:rPr>
                <w:color w:val="00000A"/>
              </w:rPr>
            </w:pPr>
            <w:r>
              <w:rPr>
                <w:color w:val="00000A"/>
              </w:rPr>
              <w:t>6. Ca</w:t>
            </w:r>
            <w:r>
              <w:rPr>
                <w:color w:val="00000A"/>
              </w:rPr>
              <w:t>racterizar a los principales grupos de invertebrados y vertebrados. CMCT.</w:t>
            </w:r>
          </w:p>
          <w:p w:rsidR="00355B54" w:rsidRDefault="00355B54">
            <w:pPr>
              <w:widowControl/>
              <w:jc w:val="both"/>
              <w:rPr>
                <w:color w:val="00000A"/>
              </w:rPr>
            </w:pPr>
          </w:p>
          <w:p w:rsidR="00355B54" w:rsidRDefault="00487040">
            <w:pPr>
              <w:widowControl/>
              <w:jc w:val="both"/>
              <w:rPr>
                <w:color w:val="00000A"/>
              </w:rPr>
            </w:pPr>
            <w:r>
              <w:rPr>
                <w:color w:val="00000A"/>
              </w:rPr>
              <w:t>7. Determinar a partir de la observación las adaptaciones que permiten a los animales y a las plantas sobrevivir en determinados ecosistemas. CMCT, CAA, SIEP.</w:t>
            </w:r>
          </w:p>
          <w:p w:rsidR="00355B54" w:rsidRDefault="00355B54">
            <w:pPr>
              <w:spacing w:after="200" w:line="276" w:lineRule="auto"/>
              <w:jc w:val="both"/>
              <w:rPr>
                <w:rFonts w:ascii="Century Gothic" w:eastAsia="Century Gothic" w:hAnsi="Century Gothic" w:cs="Century Gothic"/>
                <w:b/>
                <w:sz w:val="24"/>
                <w:szCs w:val="24"/>
              </w:rPr>
            </w:pPr>
          </w:p>
          <w:p w:rsidR="00355B54" w:rsidRDefault="00355B54">
            <w:pPr>
              <w:spacing w:after="200" w:line="276" w:lineRule="auto"/>
              <w:jc w:val="center"/>
              <w:rPr>
                <w:rFonts w:ascii="Century Gothic" w:eastAsia="Century Gothic" w:hAnsi="Century Gothic" w:cs="Century Gothic"/>
                <w:b/>
                <w:sz w:val="24"/>
                <w:szCs w:val="24"/>
              </w:rPr>
            </w:pPr>
          </w:p>
        </w:tc>
      </w:tr>
      <w:tr w:rsidR="00355B54">
        <w:trPr>
          <w:trHeight w:val="2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Producto final</w:t>
            </w:r>
          </w:p>
        </w:tc>
        <w:tc>
          <w:tcPr>
            <w:tcW w:w="11910" w:type="dxa"/>
            <w:gridSpan w:val="3"/>
          </w:tcPr>
          <w:p w:rsidR="00355B54" w:rsidRDefault="00487040">
            <w:pPr>
              <w:widowControl/>
              <w:jc w:val="both"/>
              <w:rPr>
                <w:rFonts w:ascii="Century Gothic" w:eastAsia="Century Gothic" w:hAnsi="Century Gothic" w:cs="Century Gothic"/>
                <w:b/>
                <w:sz w:val="24"/>
                <w:szCs w:val="24"/>
              </w:rPr>
            </w:pPr>
            <w:r>
              <w:rPr>
                <w:sz w:val="24"/>
                <w:szCs w:val="24"/>
              </w:rPr>
              <w:t>El producto final es una disección de un invertebrado, concretamente un calamar, en el laboratorio, acompañado de una exposición oral sobre las características anatómicas y fisiológicas de la especie a estudiar. El alumnado de 2º de Bachillerato supervisar</w:t>
            </w:r>
            <w:r>
              <w:rPr>
                <w:sz w:val="24"/>
                <w:szCs w:val="24"/>
              </w:rPr>
              <w:t>á el trabajo y la exposición de cada grupo haciendo las correcciones oportunas.</w:t>
            </w:r>
          </w:p>
        </w:tc>
      </w:tr>
      <w:tr w:rsidR="00355B54">
        <w:trPr>
          <w:trHeight w:val="2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Contextos</w:t>
            </w:r>
          </w:p>
          <w:p w:rsidR="00355B54" w:rsidRDefault="00355B54">
            <w:pPr>
              <w:spacing w:after="200" w:line="276" w:lineRule="auto"/>
              <w:rPr>
                <w:rFonts w:ascii="Century Gothic" w:eastAsia="Century Gothic" w:hAnsi="Century Gothic" w:cs="Century Gothic"/>
                <w:b/>
                <w:sz w:val="24"/>
                <w:szCs w:val="24"/>
              </w:rPr>
            </w:pPr>
          </w:p>
        </w:tc>
        <w:tc>
          <w:tcPr>
            <w:tcW w:w="11910" w:type="dxa"/>
            <w:gridSpan w:val="3"/>
          </w:tcPr>
          <w:p w:rsidR="00355B54" w:rsidRDefault="00487040">
            <w:pPr>
              <w:spacing w:after="200" w:line="276" w:lineRule="auto"/>
              <w:rPr>
                <w:rFonts w:ascii="Century Gothic" w:eastAsia="Century Gothic" w:hAnsi="Century Gothic" w:cs="Century Gothic"/>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Individual</w:t>
            </w:r>
          </w:p>
          <w:p w:rsidR="00355B54" w:rsidRDefault="00487040">
            <w:pPr>
              <w:spacing w:after="200" w:line="276" w:lineRule="auto"/>
              <w:rPr>
                <w:rFonts w:ascii="Century Gothic" w:eastAsia="Century Gothic" w:hAnsi="Century Gothic" w:cs="Century Gothic"/>
                <w:sz w:val="24"/>
                <w:szCs w:val="24"/>
              </w:rPr>
            </w:pPr>
            <w:r>
              <w:rPr>
                <w:rFonts w:ascii="Wingdings 2" w:eastAsia="Wingdings 2" w:hAnsi="Wingdings 2" w:cs="Wingdings 2"/>
                <w:sz w:val="24"/>
                <w:szCs w:val="24"/>
              </w:rPr>
              <w:t>⬜</w:t>
            </w:r>
            <w:r>
              <w:rPr>
                <w:rFonts w:ascii="Century Gothic" w:eastAsia="Century Gothic" w:hAnsi="Century Gothic" w:cs="Century Gothic"/>
                <w:sz w:val="24"/>
                <w:szCs w:val="24"/>
              </w:rPr>
              <w:t>Escolar</w:t>
            </w:r>
          </w:p>
        </w:tc>
      </w:tr>
      <w:tr w:rsidR="00355B54">
        <w:trPr>
          <w:trHeight w:val="240"/>
        </w:trPr>
        <w:tc>
          <w:tcPr>
            <w:tcW w:w="2237" w:type="dxa"/>
          </w:tcPr>
          <w:p w:rsidR="00355B54" w:rsidRDefault="00487040">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Agrupamientos</w:t>
            </w:r>
          </w:p>
        </w:tc>
        <w:tc>
          <w:tcPr>
            <w:tcW w:w="11910" w:type="dxa"/>
            <w:gridSpan w:val="3"/>
          </w:tcPr>
          <w:p w:rsidR="00355B54" w:rsidRDefault="00487040">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GRUPOS PREESTABLECIDOS</w:t>
            </w:r>
          </w:p>
          <w:p w:rsidR="00355B54" w:rsidRDefault="00355B54">
            <w:pPr>
              <w:spacing w:after="200" w:line="276" w:lineRule="auto"/>
              <w:rPr>
                <w:rFonts w:ascii="Century Gothic" w:eastAsia="Century Gothic" w:hAnsi="Century Gothic" w:cs="Century Gothic"/>
                <w:b/>
                <w:sz w:val="24"/>
                <w:szCs w:val="24"/>
              </w:rPr>
            </w:pPr>
          </w:p>
        </w:tc>
      </w:tr>
    </w:tbl>
    <w:p w:rsidR="00355B54" w:rsidRDefault="00487040">
      <w:pPr>
        <w:rPr>
          <w:b/>
          <w:sz w:val="28"/>
          <w:szCs w:val="28"/>
        </w:rPr>
      </w:pPr>
      <w:r>
        <w:rPr>
          <w:b/>
          <w:sz w:val="28"/>
          <w:szCs w:val="28"/>
        </w:rPr>
        <w:t>El producto final es una disección de un invertebrado, concretamente un calamar, en el laboratorio, acompañado de una exposición oral sobre las características anatómicas y fisiológicas de la especie a estudiar. El alumnado de 2º de Bachillerato supervisar</w:t>
      </w:r>
      <w:r>
        <w:rPr>
          <w:b/>
          <w:sz w:val="28"/>
          <w:szCs w:val="28"/>
        </w:rPr>
        <w:t>á el trabajo y la exposición de cada grupo haciendo las correcciones oportunas.</w:t>
      </w:r>
      <w:r>
        <w:rPr>
          <w:b/>
          <w:sz w:val="28"/>
          <w:szCs w:val="28"/>
        </w:rPr>
        <w:br/>
      </w:r>
      <w:r>
        <w:rPr>
          <w:b/>
          <w:sz w:val="28"/>
          <w:szCs w:val="28"/>
        </w:rPr>
        <w:br/>
      </w:r>
      <w:bookmarkStart w:id="1" w:name="_GoBack"/>
      <w:bookmarkEnd w:id="1"/>
    </w:p>
    <w:sectPr w:rsidR="00355B54">
      <w:headerReference w:type="default" r:id="rId8"/>
      <w:pgSz w:w="16838" w:h="11906"/>
      <w:pgMar w:top="1133" w:right="1133" w:bottom="1133" w:left="56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40" w:rsidRDefault="00487040">
      <w:pPr>
        <w:spacing w:after="0" w:line="240" w:lineRule="auto"/>
      </w:pPr>
      <w:r>
        <w:separator/>
      </w:r>
    </w:p>
  </w:endnote>
  <w:endnote w:type="continuationSeparator" w:id="0">
    <w:p w:rsidR="00487040" w:rsidRDefault="0048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40" w:rsidRDefault="00487040">
      <w:pPr>
        <w:spacing w:after="0" w:line="240" w:lineRule="auto"/>
      </w:pPr>
      <w:r>
        <w:separator/>
      </w:r>
    </w:p>
  </w:footnote>
  <w:footnote w:type="continuationSeparator" w:id="0">
    <w:p w:rsidR="00487040" w:rsidRDefault="0048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54" w:rsidRDefault="00355B54">
    <w:pPr>
      <w:rPr>
        <w:i/>
      </w:rPr>
    </w:pPr>
  </w:p>
  <w:p w:rsidR="00355B54" w:rsidRDefault="00487040">
    <w:pPr>
      <w:rPr>
        <w:i/>
      </w:rPr>
    </w:pPr>
    <w:r>
      <w:rPr>
        <w:i/>
      </w:rPr>
      <w:t>Curso Integración de las Competencias Clave. Sesión 2</w:t>
    </w:r>
    <w:r>
      <w:rPr>
        <w:i/>
      </w:rPr>
      <w:tab/>
      <w:t xml:space="preserve">                                         CEP de Alcalá de Guadaíra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1B6"/>
    <w:multiLevelType w:val="multilevel"/>
    <w:tmpl w:val="2ED29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5B54"/>
    <w:rsid w:val="0028684F"/>
    <w:rsid w:val="00355B54"/>
    <w:rsid w:val="00487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2018-02-20T12:21:00Z</dcterms:created>
  <dcterms:modified xsi:type="dcterms:W3CDTF">2018-02-20T12:21:00Z</dcterms:modified>
</cp:coreProperties>
</file>