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8" w:rsidRDefault="00612F38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p w:rsidR="00612F38" w:rsidRDefault="00612F38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15571" w:type="dxa"/>
        <w:tblInd w:w="30" w:type="dxa"/>
        <w:tblCellMar>
          <w:left w:w="116" w:type="dxa"/>
        </w:tblCellMar>
        <w:tblLook w:val="04A0"/>
      </w:tblPr>
      <w:tblGrid>
        <w:gridCol w:w="1767"/>
        <w:gridCol w:w="732"/>
        <w:gridCol w:w="1272"/>
        <w:gridCol w:w="999"/>
        <w:gridCol w:w="1891"/>
        <w:gridCol w:w="143"/>
        <w:gridCol w:w="1257"/>
        <w:gridCol w:w="1218"/>
        <w:gridCol w:w="2269"/>
        <w:gridCol w:w="587"/>
        <w:gridCol w:w="1443"/>
        <w:gridCol w:w="1993"/>
      </w:tblGrid>
      <w:tr w:rsidR="00612F38">
        <w:tc>
          <w:tcPr>
            <w:tcW w:w="178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07" w:type="dxa"/>
            <w:gridSpan w:val="2"/>
            <w:tcBorders>
              <w:top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MÚSICA</w:t>
            </w:r>
          </w:p>
        </w:tc>
        <w:tc>
          <w:tcPr>
            <w:tcW w:w="1000" w:type="dxa"/>
            <w:tcBorders>
              <w:top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2" w:type="dxa"/>
            <w:tcBorders>
              <w:top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1º ESO</w:t>
            </w:r>
          </w:p>
        </w:tc>
        <w:tc>
          <w:tcPr>
            <w:tcW w:w="2267" w:type="dxa"/>
            <w:gridSpan w:val="3"/>
            <w:tcBorders>
              <w:top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29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proofErr w:type="gramStart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¡ No</w:t>
            </w:r>
            <w:proofErr w:type="gramEnd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grites, que no te oigo !</w:t>
            </w:r>
          </w:p>
        </w:tc>
      </w:tr>
      <w:tr w:rsidR="00612F38">
        <w:tc>
          <w:tcPr>
            <w:tcW w:w="1785" w:type="dxa"/>
            <w:tcBorders>
              <w:left w:val="single" w:sz="2" w:space="0" w:color="000001"/>
            </w:tcBorders>
            <w:shd w:val="clear" w:color="auto" w:fill="CCC0D9" w:themeFill="accent4" w:themeFillTint="66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es-ES"/>
              </w:rPr>
              <w:t>JUSTIFICACIÓN</w:t>
            </w:r>
          </w:p>
        </w:tc>
        <w:tc>
          <w:tcPr>
            <w:tcW w:w="13785" w:type="dxa"/>
            <w:gridSpan w:val="11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Actualmente, en algunas zonas y momentos de nuestro centro educativo, se produce un exceso de ruido que tiene unas consecuencias importantes en nuestro organismo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(nerviosismo, dolor de cabeza…) y que hace difícil una comunicación fluida. Con esta unidad didáctica se pretende  hacer consciente al alumnado del exceso de ruido que producen y de la necesidad de producir cambios para reducirlo.</w:t>
            </w:r>
          </w:p>
        </w:tc>
      </w:tr>
      <w:tr w:rsidR="00612F38"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612F38">
        <w:tc>
          <w:tcPr>
            <w:tcW w:w="3892" w:type="dxa"/>
            <w:gridSpan w:val="3"/>
            <w:tcBorders>
              <w:left w:val="single" w:sz="2" w:space="0" w:color="000001"/>
            </w:tcBorders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089" w:type="dxa"/>
            <w:gridSpan w:val="4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4072" w:type="dxa"/>
            <w:gridSpan w:val="3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1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OBJETIVOS </w:t>
            </w:r>
          </w:p>
        </w:tc>
      </w:tr>
      <w:tr w:rsidR="00612F38">
        <w:trPr>
          <w:trHeight w:val="826"/>
        </w:trPr>
        <w:tc>
          <w:tcPr>
            <w:tcW w:w="3892" w:type="dxa"/>
            <w:gridSpan w:val="3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BLOQUE 1. </w:t>
            </w: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1.Reconocer los parámetros del sonido y los elementos básicos del lenguaje musical, utilizando un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lenguaje técnico apropiado y aplicándolos a través de la lectura o la audición de pequeñas obras o fragmentos </w:t>
            </w:r>
          </w:p>
          <w:p w:rsidR="00612F38" w:rsidRDefault="004673FB">
            <w:pPr>
              <w:spacing w:after="0"/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musicales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CeC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, CCL, CMCT.</w:t>
            </w: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BLOQUE 2. </w:t>
            </w: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Identificar  situaciones  del ámbito  cotidiano   en  las  que se produce un uso indiscriminado del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sonido, analizando sus causas y proponiendo soluciones (CCL, CAA, CSC,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CeC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.).</w:t>
            </w: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>BLOQUE 3.</w:t>
            </w:r>
          </w:p>
          <w:p w:rsidR="00612F38" w:rsidRDefault="004673FB">
            <w:pPr>
              <w:spacing w:after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 Valorar  la  asimilación  y  empleo  de  algunos  conceptos musicales básicos necesarios a la hora de emitir juicios de valor o «hablar de música»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( CCL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, CSC, SIEP, CEC.). </w:t>
            </w:r>
          </w:p>
          <w:p w:rsidR="00612F38" w:rsidRDefault="00612F38">
            <w:pPr>
              <w:spacing w:after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</w:pPr>
          </w:p>
          <w:p w:rsidR="00612F38" w:rsidRDefault="00612F38">
            <w:pPr>
              <w:spacing w:after="0"/>
            </w:pPr>
          </w:p>
          <w:p w:rsidR="00612F38" w:rsidRDefault="00612F38">
            <w:pPr>
              <w:spacing w:after="0"/>
            </w:pP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BLOQUE 4.</w:t>
            </w: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  Utilizar  con  autonomía  los  recursos  tecnológicos  dispon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ibles, demostrando  un  conocimiento  básico  de  las  técnicas  y procedimientos necesarios para grabar, reproducir, crear, interpretar música y realizar sencillas producciones audiovisuales (Cd, CAA, SIEP).  </w:t>
            </w:r>
          </w:p>
          <w:p w:rsidR="00612F38" w:rsidRDefault="00612F38">
            <w:pPr>
              <w:spacing w:after="0"/>
            </w:pPr>
          </w:p>
          <w:p w:rsidR="00612F38" w:rsidRDefault="00612F38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serif" w:hAnsi="serif"/>
                <w:sz w:val="21"/>
              </w:rPr>
            </w:pPr>
          </w:p>
          <w:p w:rsidR="00612F38" w:rsidRDefault="00612F38">
            <w:pPr>
              <w:spacing w:after="0"/>
              <w:rPr>
                <w:rFonts w:ascii="serif" w:hAnsi="serif"/>
                <w:sz w:val="21"/>
              </w:rPr>
            </w:pPr>
          </w:p>
          <w:p w:rsidR="00612F38" w:rsidRDefault="00612F38">
            <w:pPr>
              <w:spacing w:after="0"/>
              <w:rPr>
                <w:rFonts w:ascii="serif" w:hAnsi="serif"/>
                <w:sz w:val="21"/>
              </w:rPr>
            </w:pP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612F38" w:rsidRDefault="00612F38">
            <w:pPr>
              <w:spacing w:after="0"/>
            </w:pP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1.1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.Distingue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y emplea los elementos q</w:t>
            </w:r>
            <w:r>
              <w:rPr>
                <w:rFonts w:ascii="Century Gothic" w:hAnsi="Century Gothic"/>
                <w:sz w:val="22"/>
                <w:szCs w:val="22"/>
              </w:rPr>
              <w:t>ue se utilizan en la representación gráfica de la música (matices de intensidad).</w:t>
            </w:r>
          </w:p>
          <w:p w:rsidR="00612F38" w:rsidRDefault="00612F38">
            <w:pPr>
              <w:spacing w:after="0"/>
              <w:rPr>
                <w:rFonts w:cs="Times New Roman"/>
                <w:b/>
                <w:bCs/>
                <w:color w:val="000000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2.1Toma conciencia de la contribución de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la música a la calidad de la experiencia humana,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mostrando una actitud crítica ante el consumo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indiscriminado de música y teniendo como meta el </w:t>
            </w:r>
          </w:p>
          <w:p w:rsidR="00612F38" w:rsidRDefault="004673FB">
            <w:pPr>
              <w:spacing w:after="0"/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desarrollo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de criterios propios. </w:t>
            </w:r>
          </w:p>
          <w:p w:rsidR="00612F38" w:rsidRDefault="00612F38">
            <w:pPr>
              <w:spacing w:after="0"/>
              <w:rPr>
                <w:rFonts w:ascii="sans-serif" w:hAnsi="sans-serif"/>
                <w:sz w:val="20"/>
              </w:rPr>
            </w:pPr>
          </w:p>
          <w:p w:rsidR="00612F38" w:rsidRDefault="004673FB">
            <w:pPr>
              <w:spacing w:after="0"/>
              <w:jc w:val="both"/>
            </w:pPr>
            <w:r>
              <w:rPr>
                <w:rFonts w:ascii="Century Gothic" w:hAnsi="Century Gothic"/>
                <w:sz w:val="22"/>
                <w:szCs w:val="22"/>
              </w:rPr>
              <w:t xml:space="preserve">2..2.Elabora trabajos de indagación sobre la </w:t>
            </w:r>
          </w:p>
          <w:p w:rsidR="00612F38" w:rsidRDefault="004673FB">
            <w:pPr>
              <w:spacing w:after="0"/>
              <w:jc w:val="both"/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contaminación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acústica. </w:t>
            </w:r>
          </w:p>
          <w:p w:rsidR="00612F38" w:rsidRDefault="00612F38">
            <w:pPr>
              <w:spacing w:after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12F38" w:rsidRDefault="00612F38">
            <w:pPr>
              <w:spacing w:after="0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</w:pPr>
          </w:p>
          <w:p w:rsidR="00612F38" w:rsidRDefault="00612F38">
            <w:pPr>
              <w:spacing w:after="0"/>
            </w:pP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3.1Emplea un vocabulario adecuado para describir percepciones y conocimientos musicales.  </w:t>
            </w:r>
          </w:p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Comunica conocimientos, juicios y opiniones musicales de forma oral y escrita 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con rigor y claridad.</w:t>
            </w:r>
          </w:p>
          <w:p w:rsidR="00612F38" w:rsidRDefault="00612F38">
            <w:pPr>
              <w:spacing w:after="0"/>
              <w:rPr>
                <w:rFonts w:cs="Times New Roman"/>
                <w:color w:val="000000"/>
                <w:lang w:eastAsia="es-ES"/>
              </w:rPr>
            </w:pPr>
          </w:p>
          <w:p w:rsidR="00612F38" w:rsidRDefault="00612F38">
            <w:pPr>
              <w:spacing w:after="0"/>
              <w:rPr>
                <w:rFonts w:cs="Times New Roman"/>
                <w:color w:val="000000"/>
                <w:lang w:eastAsia="es-ES"/>
              </w:rPr>
            </w:pPr>
          </w:p>
          <w:p w:rsidR="00612F38" w:rsidRDefault="00612F38">
            <w:pPr>
              <w:spacing w:after="0"/>
              <w:rPr>
                <w:rFonts w:cs="Times New Roman"/>
                <w:color w:val="000000"/>
                <w:lang w:eastAsia="es-ES"/>
              </w:rPr>
            </w:pPr>
          </w:p>
          <w:p w:rsidR="00612F38" w:rsidRDefault="004673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4.1</w:t>
            </w:r>
            <w:proofErr w:type="gramStart"/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.Participa</w:t>
            </w:r>
            <w:proofErr w:type="gramEnd"/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 xml:space="preserve"> en todos los aspectos de la producción musical demostrando el uso adecuado de los materiales relacionados, métodos y tecnologías. </w:t>
            </w:r>
          </w:p>
        </w:tc>
        <w:tc>
          <w:tcPr>
            <w:tcW w:w="4072" w:type="dxa"/>
            <w:gridSpan w:val="3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Elementos del lenguaje musical: los ma</w:t>
            </w:r>
            <w:r w:rsidR="00113A90"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t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ices de intensidad.</w:t>
            </w: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 xml:space="preserve">Ruido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y silencio. Contaminación acústico-ambiental en nuestras ciudades y pueblos de Andalucía. </w:t>
            </w:r>
          </w:p>
          <w:p w:rsidR="00612F38" w:rsidRDefault="004673FB">
            <w:pPr>
              <w:spacing w:after="0"/>
              <w:jc w:val="both"/>
            </w:pPr>
            <w:r>
              <w:rPr>
                <w:rFonts w:ascii="Century Gothic" w:hAnsi="Century Gothic"/>
                <w:sz w:val="22"/>
                <w:szCs w:val="22"/>
              </w:rPr>
              <w:t xml:space="preserve">Ejemplos sonoros. </w:t>
            </w: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1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 xml:space="preserve">Valorar el silencio y el sonido como parte integral del medio ambiente y de 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mú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 xml:space="preserve">sica, tomando </w:t>
            </w:r>
          </w:p>
          <w:p w:rsidR="00612F38" w:rsidRDefault="004673FB">
            <w:pPr>
              <w:spacing w:after="0"/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conciencia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de los problemas creados por la contaminación acústica y sus consecuencias.</w:t>
            </w: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612F38"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CCC0D9" w:themeFill="accent4" w:themeFillTint="66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4459" w:type="dxa"/>
            <w:gridSpan w:val="4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OBJETIVOS PARA TODOS: DISMINUIR EL EXCESO DE RUIDO.</w:t>
            </w:r>
          </w:p>
        </w:tc>
        <w:tc>
          <w:tcPr>
            <w:tcW w:w="2124" w:type="dxa"/>
            <w:gridSpan w:val="2"/>
            <w:shd w:val="clear" w:color="auto" w:fill="CCC0D9" w:themeFill="accent4" w:themeFillTint="66"/>
          </w:tcPr>
          <w:p w:rsidR="00612F38" w:rsidRDefault="004673FB">
            <w:pPr>
              <w:spacing w:after="0"/>
              <w:contextualSpacing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29" w:type="dxa"/>
            <w:gridSpan w:val="4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Partiendo del hecho musical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en un primer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momento</w:t>
            </w: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,el</w:t>
            </w:r>
            <w:proofErr w:type="spellEnd"/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alumnado localizará los ámbitos de su entono en el que se produce un exceso de sonido, propondrá soluciones para la disminución del mismo y tratará de concienciar al resto de sus compañeros del Instituto sobre el uso indiscriminado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del sonido.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2334" w:type="dxa"/>
            <w:gridSpan w:val="2"/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5" w:type="dxa"/>
            <w:gridSpan w:val="2"/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4" w:type="dxa"/>
            <w:gridSpan w:val="2"/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25" w:type="dxa"/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090" w:type="dxa"/>
            <w:gridSpan w:val="2"/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E5DFEC" w:themeFill="accent4" w:themeFillTint="33"/>
            <w:vAlign w:val="center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 y agrupamientos</w:t>
            </w:r>
          </w:p>
        </w:tc>
      </w:tr>
      <w:tr w:rsidR="00612F38"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Ideas previas sobre la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intensidadel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sonido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Situaciones en las que se producen sonidos fuertes y suaves,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contaminación acústica, matices del sonido.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½ sesión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Pizarra digital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Gran grupo</w:t>
            </w: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Lluvia de ideas</w:t>
            </w:r>
          </w:p>
        </w:tc>
      </w:tr>
      <w:tr w:rsidR="00612F38">
        <w:tc>
          <w:tcPr>
            <w:tcW w:w="2558" w:type="dxa"/>
            <w:gridSpan w:val="2"/>
            <w:tcBorders>
              <w:top w:val="nil"/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Los matices de intensidad en la música.</w:t>
            </w:r>
          </w:p>
          <w:p w:rsidR="00612F38" w:rsidRDefault="00612F38">
            <w:pPr>
              <w:spacing w:after="0"/>
              <w:contextualSpacing/>
              <w:jc w:val="both"/>
            </w:pPr>
          </w:p>
        </w:tc>
        <w:tc>
          <w:tcPr>
            <w:tcW w:w="233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Escuchan un fragmento de música y anotan los cambios de intensidad.</w:t>
            </w: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Analítico</w:t>
            </w: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t>Escolar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t>½ sesión</w:t>
            </w: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t>Cuaderno del alumno.</w:t>
            </w:r>
          </w:p>
        </w:tc>
        <w:tc>
          <w:tcPr>
            <w:tcW w:w="201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t>Individual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Lectura de un artículo sobre contaminación acústica y sus efectos en el organismo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Cuestionario sobre el texto. Formulario de Google.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Ordenador individual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</w:tc>
      </w:tr>
      <w:tr w:rsidR="00612F38">
        <w:tc>
          <w:tcPr>
            <w:tcW w:w="2558" w:type="dxa"/>
            <w:gridSpan w:val="2"/>
            <w:tcBorders>
              <w:top w:val="nil"/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Presentación de la tarea.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3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Presentación de la tarea.</w:t>
            </w:r>
          </w:p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2. Presentación de la rúbrica para el vídeo final</w:t>
            </w: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</w:tcPr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auto"/>
          </w:tcPr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</w:t>
            </w:r>
          </w:p>
        </w:tc>
      </w:tr>
      <w:tr w:rsidR="00612F38"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Sonidos de nuestro entorno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1.Deben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grabar los decibelios producidos en los pasillos, clase, patio, recreo, cambios de clase, etc.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Realizarán una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tabla en la que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registren las distintas medidas.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Práctico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sesiones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del grupo pizarra digital, grabadoras o móviles.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Medidas para reducir el ruido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1. Escriben las medidas en </w:t>
            </w: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.</w:t>
            </w:r>
            <w:proofErr w:type="gramEnd"/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2. Se ponen en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común las medidas.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Realización de carteles con las medidas acordadas.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Deliberativo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1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sesion</w:t>
            </w:r>
            <w:proofErr w:type="spellEnd"/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del grupo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Pizarra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Cartulinas de colores A 4 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 clase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</w:t>
            </w:r>
          </w:p>
        </w:tc>
      </w:tr>
      <w:tr w:rsidR="00612F38">
        <w:tc>
          <w:tcPr>
            <w:tcW w:w="2558" w:type="dxa"/>
            <w:gridSpan w:val="2"/>
            <w:tcBorders>
              <w:top w:val="nil"/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Vídeo resumen</w:t>
            </w:r>
          </w:p>
        </w:tc>
        <w:tc>
          <w:tcPr>
            <w:tcW w:w="233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Realización de un vídeo en el que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aprezcan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las ideas principales tratadas en el tema.</w:t>
            </w: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Práctico</w:t>
            </w: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EscolarEscolarEscolar</w:t>
            </w:r>
            <w:proofErr w:type="spellEnd"/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2 sesiones</w:t>
            </w: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Cámara digital o móvil </w:t>
            </w:r>
          </w:p>
        </w:tc>
        <w:tc>
          <w:tcPr>
            <w:tcW w:w="201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</w:t>
            </w:r>
          </w:p>
        </w:tc>
      </w:tr>
      <w:tr w:rsidR="00612F38">
        <w:trPr>
          <w:trHeight w:val="81"/>
        </w:trPr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Autoevaluación 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Autoevaluación de la actuación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individual y grupal siguiendo una rúbrica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Cuaderno grupal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Grupos</w:t>
            </w:r>
          </w:p>
        </w:tc>
      </w:tr>
      <w:tr w:rsidR="00612F38">
        <w:tc>
          <w:tcPr>
            <w:tcW w:w="2558" w:type="dxa"/>
            <w:gridSpan w:val="2"/>
            <w:tcBorders>
              <w:top w:val="nil"/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Difusión de lo trabajado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3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Colocación de las cartulinas por los pasillos del Instituto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Publicación de los vídeos en el blog de la profesora y el blog del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Instituto</w:t>
            </w:r>
          </w:p>
          <w:p w:rsidR="00612F38" w:rsidRDefault="00612F38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Crítico</w:t>
            </w:r>
          </w:p>
        </w:tc>
        <w:tc>
          <w:tcPr>
            <w:tcW w:w="2124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1 sesión</w:t>
            </w: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Blog</w:t>
            </w:r>
          </w:p>
        </w:tc>
        <w:tc>
          <w:tcPr>
            <w:tcW w:w="201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Grupal</w:t>
            </w:r>
          </w:p>
        </w:tc>
      </w:tr>
      <w:tr w:rsidR="00612F38">
        <w:tc>
          <w:tcPr>
            <w:tcW w:w="15570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 DE LO APRENDIDO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Criterios de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evaluación y competencias clave</w:t>
            </w:r>
          </w:p>
        </w:tc>
        <w:tc>
          <w:tcPr>
            <w:tcW w:w="2334" w:type="dxa"/>
            <w:gridSpan w:val="2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Estándares de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aprendizaje evaluables</w:t>
            </w:r>
          </w:p>
        </w:tc>
        <w:tc>
          <w:tcPr>
            <w:tcW w:w="2125" w:type="dxa"/>
            <w:gridSpan w:val="2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Técnicas,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instrumentos o evidencias</w:t>
            </w:r>
          </w:p>
        </w:tc>
        <w:tc>
          <w:tcPr>
            <w:tcW w:w="2124" w:type="dxa"/>
            <w:gridSpan w:val="2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NIVEL I</w:t>
            </w:r>
          </w:p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Iniciado o en  proceso</w:t>
            </w:r>
          </w:p>
        </w:tc>
        <w:tc>
          <w:tcPr>
            <w:tcW w:w="2325" w:type="dxa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NIVEL II</w:t>
            </w:r>
          </w:p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Medio o estándar</w:t>
            </w:r>
          </w:p>
        </w:tc>
        <w:tc>
          <w:tcPr>
            <w:tcW w:w="2090" w:type="dxa"/>
            <w:gridSpan w:val="2"/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NIVEL III</w:t>
            </w:r>
          </w:p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Avanzado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E5DFEC" w:themeFill="accent4" w:themeFillTint="33"/>
          </w:tcPr>
          <w:p w:rsidR="00612F38" w:rsidRDefault="004673FB">
            <w:pPr>
              <w:spacing w:after="0"/>
              <w:contextualSpacing/>
              <w:jc w:val="center"/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 xml:space="preserve">Ponderación del 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lastRenderedPageBreak/>
              <w:t>criterio en la UDI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1.Reconocer los parámetros del sonido y los elementos básicos del lenguaje musical, utilizando un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lenguaje técnico apropiado y aplicándolos a través de la lectura o la audición de pequeñas obras o fragmentos </w:t>
            </w:r>
          </w:p>
          <w:p w:rsidR="00612F38" w:rsidRDefault="004673FB">
            <w:pPr>
              <w:spacing w:after="0"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musicales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CeC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, CCL, CMCT.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1.1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.Distingue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y emplea los elementos que se utilizan en la representación gráfica de la música (matices de intensidad)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Prueba escrita individual sobre la audición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Reconozco  y represento algunos matices de intensidad  de la obra escuchada.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Reconozco y represento casi todos los matices de intensidad de la obra escuchada.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Reconozco  y represento todos los matices de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intensidad de la obra escuchada.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30%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Identificar  situaciones  del ámbito  cotidiano   en  las  que se produce un uso indiscriminado del sonido, analizando sus causas y proponiendo soluciones (CCL, CAA, CSC,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CeC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.).</w:t>
            </w:r>
          </w:p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 xml:space="preserve">Toma conciencia de la contribución 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t>de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la música a la calidad de la experiencia humana,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mostrando una actitud crítica ante el consumo </w:t>
            </w:r>
          </w:p>
          <w:p w:rsidR="00612F38" w:rsidRDefault="004673FB">
            <w:pPr>
              <w:spacing w:after="0"/>
            </w:pPr>
            <w:r>
              <w:rPr>
                <w:rFonts w:ascii="Century Gothic" w:hAnsi="Century Gothic"/>
                <w:sz w:val="22"/>
                <w:szCs w:val="22"/>
              </w:rPr>
              <w:t xml:space="preserve">indiscriminado de música y teniendo como meta el </w:t>
            </w:r>
          </w:p>
          <w:p w:rsidR="00612F38" w:rsidRDefault="004673FB">
            <w:pPr>
              <w:spacing w:after="0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proofErr w:type="gram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desarrollo</w:t>
            </w:r>
            <w:proofErr w:type="gram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 criterios propios.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Cuestionario individual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Identifico las causas de un uso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indiscirminado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el sonido y no propongo soluciones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Identifico las causas de un uso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indiscirmando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del sonido y propongo soluciones con alguna dificultad.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Identifico las causas de un uso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indiscirmando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del sonido y propongo soluciones con facilidad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30%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Utilizar  con  autonomía  los  recursos  tecnológicos  disponibles,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demostrando  un  conocimiento  básico  de  las  técnicas  y procedimientos necesarios para grabar, reproducir, crear, interpretar música y realizar sencillas producciones audiovisuales (Cd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CAA, SIEP).  </w:t>
            </w:r>
          </w:p>
          <w:p w:rsidR="00612F38" w:rsidRDefault="00612F38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lastRenderedPageBreak/>
              <w:t xml:space="preserve">Participa en todos los aspectos de la producción musical demostrando el </w:t>
            </w: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s-ES"/>
              </w:rPr>
              <w:lastRenderedPageBreak/>
              <w:t xml:space="preserve">uso adecuado de los materiales relacionados, métodos y tecnologías.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Rúbrica.</w:t>
            </w:r>
          </w:p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Vídeo grupal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Uso un vocabulario musical apropiado pero necesito mucha ayuda para el uso d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e los recursos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tecnológicos.</w:t>
            </w:r>
          </w:p>
        </w:tc>
        <w:tc>
          <w:tcPr>
            <w:tcW w:w="2325" w:type="dxa"/>
            <w:shd w:val="clear" w:color="auto" w:fill="auto"/>
          </w:tcPr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Uso  un vocabulario  musical apropiado y necesito  poca ayuda en el uso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de los recursos tecnológicos.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4673FB">
            <w:pPr>
              <w:spacing w:after="0"/>
              <w:contextualSpacing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 xml:space="preserve">Uso un vocabulario musical apropiado y soy autónomo en el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uso de los recursos tecnológicos.</w:t>
            </w: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4673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lastRenderedPageBreak/>
              <w:t>40%</w:t>
            </w:r>
          </w:p>
        </w:tc>
      </w:tr>
      <w:tr w:rsidR="00612F38">
        <w:tc>
          <w:tcPr>
            <w:tcW w:w="2558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5" w:type="dxa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12F38" w:rsidRDefault="00612F38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</w:tbl>
    <w:p w:rsidR="00612F38" w:rsidRDefault="00612F38">
      <w:pPr>
        <w:spacing w:after="0"/>
        <w:contextualSpacing/>
        <w:jc w:val="both"/>
      </w:pPr>
    </w:p>
    <w:sectPr w:rsidR="00612F38" w:rsidSect="00612F38">
      <w:headerReference w:type="default" r:id="rId7"/>
      <w:pgSz w:w="16838" w:h="11906" w:orient="landscape"/>
      <w:pgMar w:top="766" w:right="720" w:bottom="720" w:left="720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38" w:rsidRDefault="00612F38" w:rsidP="00612F38">
      <w:pPr>
        <w:spacing w:after="0"/>
      </w:pPr>
      <w:r>
        <w:separator/>
      </w:r>
    </w:p>
  </w:endnote>
  <w:endnote w:type="continuationSeparator" w:id="1">
    <w:p w:rsidR="00612F38" w:rsidRDefault="00612F38" w:rsidP="00612F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ans-serif">
    <w:altName w:val="Arial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38" w:rsidRDefault="00612F38" w:rsidP="00612F38">
      <w:pPr>
        <w:spacing w:after="0"/>
      </w:pPr>
      <w:r>
        <w:separator/>
      </w:r>
    </w:p>
  </w:footnote>
  <w:footnote w:type="continuationSeparator" w:id="1">
    <w:p w:rsidR="00612F38" w:rsidRDefault="00612F38" w:rsidP="00612F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38" w:rsidRDefault="004673FB">
    <w:pPr>
      <w:pStyle w:val="LO-normal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2A94"/>
    <w:multiLevelType w:val="multilevel"/>
    <w:tmpl w:val="702CA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F38"/>
    <w:rsid w:val="00113A90"/>
    <w:rsid w:val="004673FB"/>
    <w:rsid w:val="0061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2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Heading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6D682C"/>
  </w:style>
  <w:style w:type="character" w:customStyle="1" w:styleId="PiedepginaCar">
    <w:name w:val="Pie de página Car"/>
    <w:basedOn w:val="Fuentedeprrafopredeter"/>
    <w:link w:val="Footer"/>
    <w:uiPriority w:val="99"/>
    <w:qFormat/>
    <w:rsid w:val="006D682C"/>
  </w:style>
  <w:style w:type="character" w:customStyle="1" w:styleId="Ttulo6Car">
    <w:name w:val="Título 6 Car"/>
    <w:basedOn w:val="Fuentedeprrafopredeter"/>
    <w:link w:val="Heading6"/>
    <w:qFormat/>
    <w:rsid w:val="006D682C"/>
    <w:rPr>
      <w:rFonts w:ascii="Tahoma" w:eastAsia="SimSun" w:hAnsi="Tahoma" w:cs="Tahoma"/>
      <w:b/>
      <w:color w:val="008000"/>
      <w:kern w:val="2"/>
      <w:sz w:val="18"/>
      <w:lang w:val="es-ES" w:eastAsia="hi-I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4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12F38"/>
    <w:rPr>
      <w:rFonts w:cs="Courier New"/>
    </w:rPr>
  </w:style>
  <w:style w:type="character" w:customStyle="1" w:styleId="ListLabel2">
    <w:name w:val="ListLabel 2"/>
    <w:qFormat/>
    <w:rsid w:val="00612F38"/>
    <w:rPr>
      <w:rFonts w:cs="Courier New"/>
    </w:rPr>
  </w:style>
  <w:style w:type="character" w:customStyle="1" w:styleId="ListLabel3">
    <w:name w:val="ListLabel 3"/>
    <w:qFormat/>
    <w:rsid w:val="00612F38"/>
    <w:rPr>
      <w:rFonts w:cs="Courier New"/>
    </w:rPr>
  </w:style>
  <w:style w:type="character" w:customStyle="1" w:styleId="ListLabel4">
    <w:name w:val="ListLabel 4"/>
    <w:qFormat/>
    <w:rsid w:val="00612F38"/>
    <w:rPr>
      <w:rFonts w:cs="OpenSymbol"/>
    </w:rPr>
  </w:style>
  <w:style w:type="character" w:customStyle="1" w:styleId="ListLabel5">
    <w:name w:val="ListLabel 5"/>
    <w:qFormat/>
    <w:rsid w:val="00612F38"/>
    <w:rPr>
      <w:rFonts w:cs="OpenSymbol"/>
    </w:rPr>
  </w:style>
  <w:style w:type="character" w:customStyle="1" w:styleId="Vietas">
    <w:name w:val="Viñetas"/>
    <w:qFormat/>
    <w:rsid w:val="00612F38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612F38"/>
    <w:rPr>
      <w:rFonts w:cs="OpenSymbol"/>
    </w:rPr>
  </w:style>
  <w:style w:type="paragraph" w:styleId="Ttulo">
    <w:name w:val="Title"/>
    <w:basedOn w:val="Normal"/>
    <w:next w:val="Textoindependiente"/>
    <w:qFormat/>
    <w:rsid w:val="00612F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612F38"/>
    <w:pPr>
      <w:spacing w:after="140" w:line="276" w:lineRule="auto"/>
    </w:pPr>
  </w:style>
  <w:style w:type="paragraph" w:styleId="Lista">
    <w:name w:val="List"/>
    <w:basedOn w:val="Textoindependiente"/>
    <w:rsid w:val="00612F38"/>
    <w:rPr>
      <w:rFonts w:cs="Lucida Sans"/>
    </w:rPr>
  </w:style>
  <w:style w:type="paragraph" w:customStyle="1" w:styleId="Caption">
    <w:name w:val="Caption"/>
    <w:basedOn w:val="Normal"/>
    <w:qFormat/>
    <w:rsid w:val="00612F3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12F38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Footer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LO-normal">
    <w:name w:val="LO-normal"/>
    <w:qFormat/>
    <w:rsid w:val="004341DA"/>
    <w:pPr>
      <w:widowControl w:val="0"/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41DA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612F38"/>
    <w:pPr>
      <w:suppressLineNumbers/>
    </w:pPr>
  </w:style>
  <w:style w:type="paragraph" w:customStyle="1" w:styleId="Ttulodelatabla">
    <w:name w:val="Título de la tabla"/>
    <w:basedOn w:val="Contenidodelatabla"/>
    <w:qFormat/>
    <w:rsid w:val="00612F3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0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1154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dc:description/>
  <cp:lastModifiedBy>uss1</cp:lastModifiedBy>
  <cp:revision>45</cp:revision>
  <cp:lastPrinted>2018-02-11T22:10:00Z</cp:lastPrinted>
  <dcterms:created xsi:type="dcterms:W3CDTF">2018-02-18T20:05:00Z</dcterms:created>
  <dcterms:modified xsi:type="dcterms:W3CDTF">2018-05-24T08:11:00Z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