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11EF" w:rsidTr="0078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9211EF" w:rsidRDefault="009211EF" w:rsidP="009211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IDENTIFICACIÓN</w:t>
            </w:r>
          </w:p>
        </w:tc>
      </w:tr>
      <w:tr w:rsidR="00705269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05269" w:rsidRDefault="009211EF">
            <w:pPr>
              <w:rPr>
                <w:lang w:val="en-US"/>
              </w:rPr>
            </w:pPr>
            <w:r>
              <w:rPr>
                <w:lang w:val="en-US"/>
              </w:rPr>
              <w:t>TÍTULO DE LA UDI</w:t>
            </w:r>
          </w:p>
        </w:tc>
        <w:tc>
          <w:tcPr>
            <w:tcW w:w="4247" w:type="dxa"/>
          </w:tcPr>
          <w:p w:rsidR="00705269" w:rsidRDefault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LET´S EAT HEALTHY</w:t>
            </w:r>
          </w:p>
        </w:tc>
      </w:tr>
      <w:tr w:rsidR="00705269" w:rsidTr="00921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05269" w:rsidRDefault="0092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Curso</w:t>
            </w:r>
            <w:proofErr w:type="spellEnd"/>
          </w:p>
        </w:tc>
        <w:tc>
          <w:tcPr>
            <w:tcW w:w="4247" w:type="dxa"/>
          </w:tcPr>
          <w:p w:rsidR="00705269" w:rsidRDefault="009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4º ESO</w:t>
            </w:r>
          </w:p>
        </w:tc>
      </w:tr>
      <w:tr w:rsidR="00705269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05269" w:rsidRDefault="0092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implicadas</w:t>
            </w:r>
            <w:proofErr w:type="spellEnd"/>
          </w:p>
        </w:tc>
        <w:tc>
          <w:tcPr>
            <w:tcW w:w="4247" w:type="dxa"/>
          </w:tcPr>
          <w:p w:rsidR="00705269" w:rsidRDefault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Educación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Física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Biología</w:t>
            </w:r>
            <w:proofErr w:type="spellEnd"/>
          </w:p>
        </w:tc>
      </w:tr>
      <w:tr w:rsidR="00705269" w:rsidRPr="009211EF" w:rsidTr="00921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05269" w:rsidRDefault="009211EF" w:rsidP="009211EF">
            <w:pPr>
              <w:tabs>
                <w:tab w:val="left" w:pos="3030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Justificación</w:t>
            </w:r>
            <w:proofErr w:type="spellEnd"/>
          </w:p>
        </w:tc>
        <w:tc>
          <w:tcPr>
            <w:tcW w:w="4247" w:type="dxa"/>
          </w:tcPr>
          <w:p w:rsidR="00705269" w:rsidRPr="009211EF" w:rsidRDefault="009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1EF">
              <w:t xml:space="preserve">Aprender a comer sano </w:t>
            </w:r>
            <w:r>
              <w:t>y desarrollar hábitos de vida saludables es necesario para educar a los estudiantes en el desarrollo como individuos sanos y responsables con su salud.</w:t>
            </w:r>
          </w:p>
        </w:tc>
      </w:tr>
      <w:tr w:rsidR="00705269" w:rsidRPr="009211EF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05269" w:rsidRPr="009211EF" w:rsidRDefault="009211EF">
            <w:r>
              <w:t>Temporalización</w:t>
            </w:r>
          </w:p>
        </w:tc>
        <w:tc>
          <w:tcPr>
            <w:tcW w:w="4247" w:type="dxa"/>
          </w:tcPr>
          <w:p w:rsidR="00705269" w:rsidRPr="009211EF" w:rsidRDefault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sesiones</w:t>
            </w:r>
          </w:p>
        </w:tc>
      </w:tr>
    </w:tbl>
    <w:p w:rsidR="002251AA" w:rsidRDefault="002251AA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11EF" w:rsidTr="0078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9211EF" w:rsidRDefault="009211EF" w:rsidP="009211EF">
            <w:pPr>
              <w:jc w:val="center"/>
            </w:pPr>
            <w:r>
              <w:t>CONCRECIÓN CURRICULAR</w:t>
            </w:r>
          </w:p>
        </w:tc>
      </w:tr>
      <w:tr w:rsidR="009211EF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211EF" w:rsidRDefault="009211EF">
            <w:r>
              <w:t>Materia</w:t>
            </w:r>
          </w:p>
        </w:tc>
        <w:tc>
          <w:tcPr>
            <w:tcW w:w="4247" w:type="dxa"/>
          </w:tcPr>
          <w:p w:rsidR="009211EF" w:rsidRDefault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Inglés</w:t>
            </w:r>
          </w:p>
        </w:tc>
      </w:tr>
      <w:tr w:rsidR="009211EF" w:rsidTr="00921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211EF" w:rsidRDefault="009211EF">
            <w:r>
              <w:t>Criterios de evaluación</w:t>
            </w:r>
          </w:p>
        </w:tc>
        <w:tc>
          <w:tcPr>
            <w:tcW w:w="4247" w:type="dxa"/>
          </w:tcPr>
          <w:p w:rsidR="009211EF" w:rsidRDefault="009211EF" w:rsidP="009211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 xml:space="preserve">-Conocer y saber aplicar las estrategias más adecuadas para producir textos orales </w:t>
            </w:r>
            <w:proofErr w:type="spellStart"/>
            <w:r>
              <w:rPr>
                <w:rFonts w:ascii="NewsGotT-Regu" w:hAnsi="NewsGotT-Regu" w:cs="NewsGotT-Regu"/>
                <w:sz w:val="24"/>
                <w:szCs w:val="24"/>
              </w:rPr>
              <w:t>monológicos</w:t>
            </w:r>
            <w:proofErr w:type="spellEnd"/>
            <w:r>
              <w:rPr>
                <w:rFonts w:ascii="NewsGotT-Regu" w:hAnsi="NewsGotT-Regu" w:cs="NewsGotT-Regu"/>
                <w:sz w:val="24"/>
                <w:szCs w:val="24"/>
              </w:rPr>
              <w:t xml:space="preserve"> y</w:t>
            </w:r>
          </w:p>
          <w:p w:rsidR="009211EF" w:rsidRDefault="009211EF" w:rsidP="009211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dialógicos breves y de estructura simple y clara, utilizando entre otros, procedimientos como la adaptación del</w:t>
            </w:r>
          </w:p>
          <w:p w:rsidR="009211EF" w:rsidRDefault="009211EF" w:rsidP="009211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mensaje a patrones de la primera lengua u otras, o el uso de elementos léxicos aproximados ante la ausencia de</w:t>
            </w:r>
          </w:p>
          <w:p w:rsidR="009211EF" w:rsidRDefault="009211EF" w:rsidP="009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otros más precisos.</w:t>
            </w:r>
          </w:p>
          <w:p w:rsidR="009211EF" w:rsidRDefault="009211EF" w:rsidP="009211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t>-</w:t>
            </w:r>
            <w:r>
              <w:rPr>
                <w:rFonts w:ascii="NewsGotT-Regu" w:hAnsi="NewsGotT-Regu" w:cs="NewsGotT-Regu"/>
                <w:sz w:val="24"/>
                <w:szCs w:val="24"/>
              </w:rPr>
              <w:t xml:space="preserve"> Conocer y aplicar estrategias adecuadas para elaborar textos escritos breves y de estructura simple;</w:t>
            </w:r>
          </w:p>
          <w:p w:rsidR="009211EF" w:rsidRDefault="009211EF" w:rsidP="009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ewsGotT-Regu" w:hAnsi="NewsGotT-Regu" w:cs="NewsGotT-Regu"/>
                <w:sz w:val="24"/>
                <w:szCs w:val="24"/>
              </w:rPr>
              <w:t xml:space="preserve">por </w:t>
            </w:r>
            <w:proofErr w:type="gramStart"/>
            <w:r>
              <w:rPr>
                <w:rFonts w:ascii="NewsGotT-Regu" w:hAnsi="NewsGotT-Regu" w:cs="NewsGotT-Regu"/>
                <w:sz w:val="24"/>
                <w:szCs w:val="24"/>
              </w:rPr>
              <w:t>ejemplo</w:t>
            </w:r>
            <w:proofErr w:type="gramEnd"/>
            <w:r>
              <w:rPr>
                <w:rFonts w:ascii="NewsGotT-Regu" w:hAnsi="NewsGotT-Regu" w:cs="NewsGotT-Regu"/>
                <w:sz w:val="24"/>
                <w:szCs w:val="24"/>
              </w:rPr>
              <w:t xml:space="preserve"> copiando formatos, fórmulas y modelos convencionales propios de cada tipo de texto.</w:t>
            </w:r>
          </w:p>
        </w:tc>
      </w:tr>
      <w:tr w:rsidR="009211EF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211EF" w:rsidRDefault="009211EF">
            <w:r>
              <w:t>Objetivos</w:t>
            </w:r>
          </w:p>
        </w:tc>
        <w:tc>
          <w:tcPr>
            <w:tcW w:w="4247" w:type="dxa"/>
          </w:tcPr>
          <w:p w:rsidR="009211EF" w:rsidRDefault="009211EF" w:rsidP="009211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b) Desarrollar y consolidar hábitos de disciplina, estudio y trabajo individual y en equipo como condición</w:t>
            </w:r>
          </w:p>
          <w:p w:rsidR="009211EF" w:rsidRDefault="009211EF" w:rsidP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necesaria para una realización eficaz de las tareas del aprendizaje y como medio de desarrollo personal.</w:t>
            </w:r>
          </w:p>
          <w:p w:rsidR="009211EF" w:rsidRDefault="009211EF" w:rsidP="009211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e) Desarrollar destrezas básicas en la utilización de las fuentes de información para, con sentido crítico,</w:t>
            </w:r>
          </w:p>
          <w:p w:rsidR="009211EF" w:rsidRDefault="009211EF" w:rsidP="009211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adquirir nuevos conocimientos. Adquirir una preparación básica en el campo de las tecnologías, especialmente</w:t>
            </w:r>
          </w:p>
          <w:p w:rsidR="009211EF" w:rsidRDefault="009211EF" w:rsidP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GotT-Regu" w:hAnsi="NewsGotT-Regu" w:cs="NewsGotT-Regu"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24"/>
                <w:szCs w:val="24"/>
              </w:rPr>
              <w:t>las de la información y la comunicación.</w:t>
            </w:r>
          </w:p>
          <w:p w:rsidR="009211EF" w:rsidRDefault="009211EF" w:rsidP="0092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NewsGotT-Regu" w:hAnsi="NewsGotT-Regu" w:cs="NewsGotT-Regu"/>
                <w:sz w:val="24"/>
                <w:szCs w:val="24"/>
              </w:rPr>
              <w:t>i) Comprender y expresarse en una o más lenguas extranjeras de manera apropiada.</w:t>
            </w:r>
          </w:p>
        </w:tc>
      </w:tr>
      <w:tr w:rsidR="009211EF" w:rsidTr="00921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211EF" w:rsidRDefault="009211EF">
            <w:r>
              <w:t>Contenidos</w:t>
            </w:r>
          </w:p>
        </w:tc>
        <w:tc>
          <w:tcPr>
            <w:tcW w:w="4247" w:type="dxa"/>
          </w:tcPr>
          <w:p w:rsidR="009211EF" w:rsidRDefault="009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Creación de </w:t>
            </w:r>
            <w:proofErr w:type="spellStart"/>
            <w:r>
              <w:t>encuestras</w:t>
            </w:r>
            <w:proofErr w:type="spellEnd"/>
          </w:p>
          <w:p w:rsidR="00AA5C47" w:rsidRDefault="00AA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Modal </w:t>
            </w:r>
            <w:proofErr w:type="spellStart"/>
            <w:r>
              <w:t>verbs</w:t>
            </w:r>
            <w:proofErr w:type="spellEnd"/>
          </w:p>
          <w:p w:rsidR="00AA5C47" w:rsidRDefault="00AA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Presentación oral</w:t>
            </w:r>
          </w:p>
          <w:p w:rsidR="00AA5C47" w:rsidRDefault="00AA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Vocabulario de deporte y comida</w:t>
            </w:r>
          </w:p>
        </w:tc>
      </w:tr>
      <w:tr w:rsidR="009211EF" w:rsidTr="0092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211EF" w:rsidRDefault="00AA5C47">
            <w:r>
              <w:lastRenderedPageBreak/>
              <w:t>Competencias</w:t>
            </w:r>
          </w:p>
        </w:tc>
        <w:tc>
          <w:tcPr>
            <w:tcW w:w="4247" w:type="dxa"/>
          </w:tcPr>
          <w:p w:rsidR="009211EF" w:rsidRDefault="00AA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CAA, CSC, CCL, CD</w:t>
            </w:r>
          </w:p>
        </w:tc>
      </w:tr>
    </w:tbl>
    <w:p w:rsidR="009211EF" w:rsidRDefault="009211EF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C47" w:rsidTr="0078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AA5C47" w:rsidRDefault="00AA5C47" w:rsidP="00AA5C47">
            <w:pPr>
              <w:jc w:val="center"/>
            </w:pPr>
            <w:r>
              <w:t>Transposición didáctica</w:t>
            </w:r>
          </w:p>
        </w:tc>
      </w:tr>
      <w:tr w:rsidR="00AA5C47" w:rsidRPr="00AA5C47" w:rsidTr="00AA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Default="00AA5C47">
            <w:r>
              <w:t>Título de la tarea</w:t>
            </w:r>
          </w:p>
        </w:tc>
        <w:tc>
          <w:tcPr>
            <w:tcW w:w="4247" w:type="dxa"/>
          </w:tcPr>
          <w:p w:rsidR="00AA5C47" w:rsidRPr="00AA5C47" w:rsidRDefault="00AA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5C47">
              <w:rPr>
                <w:lang w:val="en-US"/>
              </w:rPr>
              <w:t>Where am I in th</w:t>
            </w:r>
            <w:r>
              <w:rPr>
                <w:lang w:val="en-US"/>
              </w:rPr>
              <w:t>e pyramid?</w:t>
            </w:r>
          </w:p>
        </w:tc>
      </w:tr>
      <w:tr w:rsidR="00AA5C47" w:rsidRPr="00AA5C47" w:rsidTr="00AA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AA5C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tarea</w:t>
            </w:r>
            <w:proofErr w:type="spellEnd"/>
          </w:p>
        </w:tc>
        <w:tc>
          <w:tcPr>
            <w:tcW w:w="4247" w:type="dxa"/>
          </w:tcPr>
          <w:p w:rsidR="00AA5C47" w:rsidRPr="00AA5C47" w:rsidRDefault="00AA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7">
              <w:t>Los estudiantes deberán analizar s</w:t>
            </w:r>
            <w:r>
              <w:t>us hábitos de comida y realización de deporte y realizar una tabla donde se indique el deporte que hacen y la frecuencia con la que lo hacen, luego crearán una pirámide donde incluyan la frecuencia con la que comen cada alimento. Compararán sus resultados con tablas alimenticias y de hábitos de deporte recomendados y compararán sus resultados con otros miembros de su grupo y lo compartirán al resto de la clase.</w:t>
            </w:r>
          </w:p>
        </w:tc>
      </w:tr>
      <w:tr w:rsidR="00AA5C47" w:rsidRPr="00AA5C47" w:rsidTr="00AA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AA5C47">
            <w:r>
              <w:t>Actividades</w:t>
            </w:r>
          </w:p>
        </w:tc>
        <w:tc>
          <w:tcPr>
            <w:tcW w:w="4247" w:type="dxa"/>
          </w:tcPr>
          <w:p w:rsidR="00AA5C47" w:rsidRPr="00AA5C47" w:rsidRDefault="00AA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Búsqueda de tablas alimenticias, ver un vídeo sobre los problemas en los que deriva no comer sano, realizar un texto donde escriban sobre la importancia de hacer deporte, </w:t>
            </w:r>
            <w:proofErr w:type="spellStart"/>
            <w:r>
              <w:t>speaking</w:t>
            </w:r>
            <w:proofErr w:type="spellEnd"/>
            <w:r>
              <w:t xml:space="preserve"> sobre sus alimentos favoritos y por qué lo son, </w:t>
            </w:r>
            <w:proofErr w:type="spellStart"/>
            <w:r>
              <w:t>Readings</w:t>
            </w:r>
            <w:proofErr w:type="spellEnd"/>
            <w:r>
              <w:t xml:space="preserve"> sobre deportes y las comidas típicas en países de habla inglesa</w:t>
            </w:r>
          </w:p>
        </w:tc>
      </w:tr>
      <w:tr w:rsidR="00AA5C47" w:rsidRPr="00AA5C47" w:rsidTr="00AA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AA5C47">
            <w:r>
              <w:t>Ejercicios</w:t>
            </w:r>
          </w:p>
        </w:tc>
        <w:tc>
          <w:tcPr>
            <w:tcW w:w="4247" w:type="dxa"/>
          </w:tcPr>
          <w:p w:rsidR="00AA5C47" w:rsidRPr="00AA5C47" w:rsidRDefault="00AA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Vocabulario relacionado con los deportes y la salud, ejercicios sobre modal </w:t>
            </w:r>
            <w:proofErr w:type="spellStart"/>
            <w:r>
              <w:t>verbs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</w:p>
        </w:tc>
      </w:tr>
      <w:tr w:rsidR="00AA5C47" w:rsidRPr="00AA5C47" w:rsidTr="00AA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AA5C47">
            <w:r>
              <w:t>Temporalización</w:t>
            </w:r>
          </w:p>
        </w:tc>
        <w:tc>
          <w:tcPr>
            <w:tcW w:w="4247" w:type="dxa"/>
          </w:tcPr>
          <w:p w:rsidR="00AA5C47" w:rsidRPr="00AA5C47" w:rsidRDefault="00AA5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realización de la tarea tendrá lugar durante una sesión y la exposición de </w:t>
            </w:r>
            <w:proofErr w:type="gramStart"/>
            <w:r>
              <w:t>la misma</w:t>
            </w:r>
            <w:proofErr w:type="gramEnd"/>
            <w:r>
              <w:t xml:space="preserve"> durante otra. El resto de </w:t>
            </w:r>
            <w:proofErr w:type="gramStart"/>
            <w:r>
              <w:t>días</w:t>
            </w:r>
            <w:proofErr w:type="gramEnd"/>
            <w:r>
              <w:t xml:space="preserve"> </w:t>
            </w:r>
            <w:r w:rsidR="00784A43">
              <w:t>incluirán la realización de ejercicios y actividades que preparen para la tarea final</w:t>
            </w:r>
          </w:p>
        </w:tc>
      </w:tr>
      <w:tr w:rsidR="00AA5C47" w:rsidRPr="00AA5C47" w:rsidTr="00AA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784A43">
            <w:r>
              <w:t>Recursos</w:t>
            </w:r>
          </w:p>
        </w:tc>
        <w:tc>
          <w:tcPr>
            <w:tcW w:w="4247" w:type="dxa"/>
          </w:tcPr>
          <w:p w:rsidR="00AA5C47" w:rsidRPr="00AA5C47" w:rsidRDefault="00784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Pizarra digital, Prezi, </w:t>
            </w:r>
            <w:proofErr w:type="spellStart"/>
            <w:r>
              <w:t>Youtube</w:t>
            </w:r>
            <w:proofErr w:type="spellEnd"/>
            <w:r>
              <w:t>, libro de clase.</w:t>
            </w:r>
          </w:p>
        </w:tc>
      </w:tr>
      <w:tr w:rsidR="00AA5C47" w:rsidRPr="00AA5C47" w:rsidTr="00AA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A5C47" w:rsidRPr="00AA5C47" w:rsidRDefault="00784A43">
            <w:r>
              <w:t>Procesos cognitivos</w:t>
            </w:r>
          </w:p>
        </w:tc>
        <w:tc>
          <w:tcPr>
            <w:tcW w:w="4247" w:type="dxa"/>
          </w:tcPr>
          <w:p w:rsidR="00AA5C47" w:rsidRPr="00AA5C47" w:rsidRDefault="00784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Reflexivo, crítico, práctico, analítico</w:t>
            </w:r>
          </w:p>
        </w:tc>
      </w:tr>
      <w:tr w:rsidR="00784A43" w:rsidRPr="00AA5C47" w:rsidTr="00AA5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84A43" w:rsidRDefault="00784A43">
            <w:r>
              <w:t>Contexto</w:t>
            </w:r>
          </w:p>
        </w:tc>
        <w:tc>
          <w:tcPr>
            <w:tcW w:w="4247" w:type="dxa"/>
          </w:tcPr>
          <w:p w:rsidR="00784A43" w:rsidRDefault="00784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aula</w:t>
            </w:r>
          </w:p>
        </w:tc>
      </w:tr>
      <w:tr w:rsidR="00784A43" w:rsidRPr="00AA5C47" w:rsidTr="00AA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784A43" w:rsidRDefault="00784A43">
            <w:r>
              <w:t>Metodologías</w:t>
            </w:r>
          </w:p>
        </w:tc>
        <w:tc>
          <w:tcPr>
            <w:tcW w:w="4247" w:type="dxa"/>
          </w:tcPr>
          <w:p w:rsidR="00784A43" w:rsidRDefault="00784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Cooperativa</w:t>
            </w:r>
          </w:p>
        </w:tc>
      </w:tr>
    </w:tbl>
    <w:p w:rsidR="00AA5C47" w:rsidRDefault="00AA5C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84A43" w:rsidTr="00784A43">
        <w:tc>
          <w:tcPr>
            <w:tcW w:w="2123" w:type="dxa"/>
          </w:tcPr>
          <w:p w:rsidR="00784A43" w:rsidRDefault="00784A43">
            <w:r>
              <w:t>Estándar</w:t>
            </w:r>
          </w:p>
        </w:tc>
        <w:tc>
          <w:tcPr>
            <w:tcW w:w="2123" w:type="dxa"/>
          </w:tcPr>
          <w:p w:rsidR="00784A43" w:rsidRDefault="0088295C">
            <w:r>
              <w:t>Nivel 1</w:t>
            </w:r>
          </w:p>
        </w:tc>
        <w:tc>
          <w:tcPr>
            <w:tcW w:w="2124" w:type="dxa"/>
          </w:tcPr>
          <w:p w:rsidR="00784A43" w:rsidRDefault="0088295C">
            <w:r>
              <w:t>Nivel 2</w:t>
            </w:r>
          </w:p>
        </w:tc>
        <w:tc>
          <w:tcPr>
            <w:tcW w:w="2124" w:type="dxa"/>
          </w:tcPr>
          <w:p w:rsidR="00784A43" w:rsidRDefault="0054374B">
            <w:r>
              <w:t>Nivel 3</w:t>
            </w:r>
          </w:p>
        </w:tc>
      </w:tr>
      <w:tr w:rsidR="00784A43" w:rsidTr="00784A43">
        <w:tc>
          <w:tcPr>
            <w:tcW w:w="2123" w:type="dxa"/>
          </w:tcPr>
          <w:p w:rsidR="00784A43" w:rsidRDefault="00784A43" w:rsidP="00784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Bloque 2. Hace presentaciones breves, bien estructuradas, ensayadas previamente y con</w:t>
            </w:r>
          </w:p>
          <w:p w:rsidR="00784A43" w:rsidRDefault="00784A43" w:rsidP="00784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apoyo visual (p. e. PowerPoint), sobre aspectos concretos de temas académicos u</w:t>
            </w:r>
          </w:p>
          <w:p w:rsidR="00784A43" w:rsidRDefault="00784A43" w:rsidP="00784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ocupacionales de su interés, organizando la información básica de manera coherente,</w:t>
            </w:r>
          </w:p>
          <w:p w:rsidR="00784A43" w:rsidRDefault="00784A43" w:rsidP="00784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explicando las ideas principales brevemente y con claridad y respondiendo a preguntas</w:t>
            </w:r>
          </w:p>
          <w:p w:rsidR="00784A43" w:rsidRDefault="00784A43" w:rsidP="00784A43">
            <w:r>
              <w:rPr>
                <w:rFonts w:ascii="Calibri" w:hAnsi="Calibri" w:cs="Calibri"/>
                <w:sz w:val="24"/>
                <w:szCs w:val="24"/>
              </w:rPr>
              <w:t xml:space="preserve">sencillas de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los oyentes articuladas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 manera clara y a velocidad media.</w:t>
            </w:r>
          </w:p>
        </w:tc>
        <w:tc>
          <w:tcPr>
            <w:tcW w:w="2123" w:type="dxa"/>
          </w:tcPr>
          <w:p w:rsidR="00784A43" w:rsidRDefault="00D02A6D">
            <w:r>
              <w:lastRenderedPageBreak/>
              <w:t>Nivel bajo de pronunciación, fluidez, coherencia y cohesión</w:t>
            </w:r>
          </w:p>
        </w:tc>
        <w:tc>
          <w:tcPr>
            <w:tcW w:w="2124" w:type="dxa"/>
          </w:tcPr>
          <w:p w:rsidR="00784A43" w:rsidRDefault="00D02A6D">
            <w:r>
              <w:t>Nivel medio de pronunciación, fluidez, coherencia y cohesión</w:t>
            </w:r>
          </w:p>
        </w:tc>
        <w:tc>
          <w:tcPr>
            <w:tcW w:w="2124" w:type="dxa"/>
          </w:tcPr>
          <w:p w:rsidR="00784A43" w:rsidRDefault="00D02A6D">
            <w:r>
              <w:t>Nivel alto de pronunciación, fluidez, coherencia y cohesión</w:t>
            </w:r>
          </w:p>
        </w:tc>
      </w:tr>
      <w:tr w:rsidR="00D02A6D" w:rsidTr="00784A43">
        <w:tc>
          <w:tcPr>
            <w:tcW w:w="2123" w:type="dxa"/>
          </w:tcPr>
          <w:p w:rsidR="00D02A6D" w:rsidRDefault="00D02A6D" w:rsidP="00D0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Escribe, en un formato convencional, informes breves y sencillos en los que da</w:t>
            </w:r>
          </w:p>
          <w:p w:rsidR="00D02A6D" w:rsidRDefault="00D02A6D" w:rsidP="00D0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información esencial sobre un tema académico, ocupacional, o menos habitual (p. e.</w:t>
            </w:r>
          </w:p>
          <w:p w:rsidR="00D02A6D" w:rsidRDefault="00D02A6D" w:rsidP="00D0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 accidente), describiendo brevemente situaciones, personas, objetos y lugares;</w:t>
            </w:r>
          </w:p>
          <w:p w:rsidR="00D02A6D" w:rsidRDefault="00D02A6D" w:rsidP="00D0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narrando acontecimientos en una clara secuencia lineal, y explicando de manera</w:t>
            </w:r>
          </w:p>
          <w:p w:rsidR="00D02A6D" w:rsidRDefault="00D02A6D" w:rsidP="00D0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sencilla los motivos de ciertas acciones.</w:t>
            </w:r>
          </w:p>
        </w:tc>
        <w:tc>
          <w:tcPr>
            <w:tcW w:w="2123" w:type="dxa"/>
          </w:tcPr>
          <w:p w:rsidR="00D02A6D" w:rsidRDefault="00D02A6D" w:rsidP="00D02A6D">
            <w:r>
              <w:t>Nivel bajo de gramática, vocabulario, estructuras e ideas presentadas con errores graves para el nivel</w:t>
            </w:r>
            <w:bookmarkStart w:id="0" w:name="_GoBack"/>
            <w:bookmarkEnd w:id="0"/>
          </w:p>
        </w:tc>
        <w:tc>
          <w:tcPr>
            <w:tcW w:w="2124" w:type="dxa"/>
          </w:tcPr>
          <w:p w:rsidR="00D02A6D" w:rsidRDefault="00D02A6D" w:rsidP="00D02A6D">
            <w:r>
              <w:t xml:space="preserve">El número de estructuras relacionadas con gramática, vocabulario y estructuras utilizadas de forma adecuada e incorrecta es </w:t>
            </w:r>
            <w:proofErr w:type="gramStart"/>
            <w:r>
              <w:t>equilibrada</w:t>
            </w:r>
            <w:proofErr w:type="gramEnd"/>
            <w:r>
              <w:t>, es decir, hay un número equitativo de estructuras bien y mal usadas para el nivel</w:t>
            </w:r>
          </w:p>
        </w:tc>
        <w:tc>
          <w:tcPr>
            <w:tcW w:w="2124" w:type="dxa"/>
          </w:tcPr>
          <w:p w:rsidR="00D02A6D" w:rsidRDefault="00D02A6D" w:rsidP="00D02A6D">
            <w:r>
              <w:t>Nivel alto de gramática, vocabulario, estructuras e ideas presentadas con errores graves para el nivel</w:t>
            </w:r>
          </w:p>
        </w:tc>
      </w:tr>
    </w:tbl>
    <w:p w:rsidR="00784A43" w:rsidRDefault="00784A43"/>
    <w:p w:rsidR="00D02A6D" w:rsidRDefault="00D02A6D"/>
    <w:p w:rsidR="00D02A6D" w:rsidRPr="00AA5C47" w:rsidRDefault="00D02A6D"/>
    <w:sectPr w:rsidR="00D02A6D" w:rsidRPr="00AA5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GotT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A"/>
    <w:rsid w:val="002251AA"/>
    <w:rsid w:val="0054374B"/>
    <w:rsid w:val="00705269"/>
    <w:rsid w:val="00784A43"/>
    <w:rsid w:val="0088295C"/>
    <w:rsid w:val="009211EF"/>
    <w:rsid w:val="00AA5C47"/>
    <w:rsid w:val="00B40519"/>
    <w:rsid w:val="00D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EAB"/>
  <w15:chartTrackingRefBased/>
  <w15:docId w15:val="{DAB9141A-BA84-401A-AB7B-BD3847F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11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75D8-2FAC-4A21-AFB7-81CF2CDB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Hijón</dc:creator>
  <cp:keywords/>
  <dc:description/>
  <cp:lastModifiedBy>David Hijón</cp:lastModifiedBy>
  <cp:revision>1</cp:revision>
  <dcterms:created xsi:type="dcterms:W3CDTF">2018-05-22T20:40:00Z</dcterms:created>
  <dcterms:modified xsi:type="dcterms:W3CDTF">2018-05-23T09:19:00Z</dcterms:modified>
</cp:coreProperties>
</file>