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5" w:rsidRDefault="00536E70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  <w:r>
        <w:rPr>
          <w:rFonts w:ascii="Century Gothic" w:hAnsi="Century Gothic" w:cs="Times New Roman"/>
          <w:sz w:val="22"/>
          <w:szCs w:val="22"/>
          <w:lang w:val="es-ES" w:eastAsia="es-ES"/>
        </w:rPr>
        <w:tab/>
      </w:r>
      <w:r>
        <w:rPr>
          <w:rFonts w:ascii="Century Gothic" w:hAnsi="Century Gothic" w:cs="Times New Roman"/>
          <w:sz w:val="22"/>
          <w:szCs w:val="22"/>
          <w:lang w:val="es-ES" w:eastAsia="es-ES"/>
        </w:rPr>
        <w:tab/>
      </w:r>
    </w:p>
    <w:tbl>
      <w:tblPr>
        <w:tblStyle w:val="Tablaconcuadrcula"/>
        <w:tblW w:w="0" w:type="auto"/>
        <w:tblLook w:val="04A0"/>
      </w:tblPr>
      <w:tblGrid>
        <w:gridCol w:w="1813"/>
        <w:gridCol w:w="755"/>
        <w:gridCol w:w="1368"/>
        <w:gridCol w:w="992"/>
        <w:gridCol w:w="1985"/>
        <w:gridCol w:w="141"/>
        <w:gridCol w:w="958"/>
        <w:gridCol w:w="1168"/>
        <w:gridCol w:w="2327"/>
        <w:gridCol w:w="584"/>
        <w:gridCol w:w="1502"/>
        <w:gridCol w:w="2023"/>
      </w:tblGrid>
      <w:tr w:rsidR="007A0A4E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086F6D" w:rsidRDefault="00EA5B70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EDUCACIÓN FÍSICA</w:t>
            </w:r>
          </w:p>
        </w:tc>
        <w:tc>
          <w:tcPr>
            <w:tcW w:w="992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EA5B70" w:rsidRDefault="00536E70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1º ESO</w:t>
            </w: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EA5B70" w:rsidRDefault="00EA5B70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“LA BOLA EN EL AIRE”</w:t>
            </w: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2" w:space="0" w:color="000000" w:themeColor="text1"/>
            </w:tcBorders>
          </w:tcPr>
          <w:p w:rsidR="00086F6D" w:rsidRPr="00086F6D" w:rsidRDefault="00EA5B70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El voleibol es un deporte, sobre todo un juego. Por ello, vamos a desarrollarlo mediante formas jugadas, con el fin de que se diviertan jugando mientas aprenden y desarrollan las técnicas y tácticas básicas del mismo. Buscamos una enseñanza globalizada, con la finalidad de proporcionar un recurso a utilizar en el tiempo de ocio. La naturaleza de los juegos utilizados son tanto cooperativos </w:t>
            </w:r>
            <w:r w:rsidR="0015787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(para conseguir el disfrute de la actividad física por encima de los resultados) como competitivos (para no olvidar el carácter intrínseco del deporte).</w:t>
            </w: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7A0A4E" w:rsidRPr="00086F6D" w:rsidTr="00441BCE">
        <w:tc>
          <w:tcPr>
            <w:tcW w:w="3936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076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7A0A4E" w:rsidRPr="00086F6D" w:rsidTr="00FF037B">
        <w:trPr>
          <w:trHeight w:val="458"/>
        </w:trPr>
        <w:tc>
          <w:tcPr>
            <w:tcW w:w="3936" w:type="dxa"/>
            <w:gridSpan w:val="3"/>
            <w:vMerge w:val="restart"/>
            <w:tcBorders>
              <w:left w:val="single" w:sz="2" w:space="0" w:color="000000" w:themeColor="text1"/>
            </w:tcBorders>
          </w:tcPr>
          <w:p w:rsidR="00FF037B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3.- Resolver situaciones motrices de oposici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ón, colaboración o colaboración-</w:t>
            </w: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oposición, utilizando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las </w:t>
            </w: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estrategias más adecuadas en función de los estímulos relevantes.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 CMCT, CAA, CSC, SIEP.</w:t>
            </w:r>
          </w:p>
          <w:p w:rsidR="00FF037B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7.- Reconocer las posibilidades de las actividades físicas y artístico-expresivas como formas de inclusión social facilitando la eliminación de obstáculos a la participación de otras personas independientemente de sus características, colaborando con los demás y aceptando sus aportaciones. CAA, CSC, SIEP.</w:t>
            </w:r>
          </w:p>
          <w:p w:rsidR="00FF037B" w:rsidRPr="0015787C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8.- Reconocer las posibilidades que ofrecen las actividades físico-deportivas  como formas de ocio activo y de utilización responsable del entorno, facilitando conocer y utilizar espacios urbanos y naturales del entorno próximo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para la práctica de actividades físico-deportivas. CMCT, CAA, CSC. </w:t>
            </w:r>
          </w:p>
          <w:p w:rsidR="00FF037B" w:rsidRPr="00086F6D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E212D4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3.1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Adapta los fundamentos técnicos y tácticos para obtener ventaja en la práctica de las actividades físico-deportivas de oposición o de colaboración-oposición.</w:t>
            </w:r>
          </w:p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3.2 Describe y pone en práctica de manera autónoma aspectos de organización de ataque y de defensa en las actividades físico-deportivas de oposición o de colaboración-oposición seleccionadas.</w:t>
            </w:r>
          </w:p>
          <w:p w:rsidR="00FF037B" w:rsidRDefault="00C46EA6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7.2Colabora en las actividades grupales respetando las aportaciones de los demás y las normas establecidas y asumiendo sus responsabilidades para la consecución de los objetivos.</w:t>
            </w:r>
          </w:p>
          <w:p w:rsidR="00FF037B" w:rsidRPr="00E212D4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8.1 Conoce las posibilidades que ofrece el entorno para la realización de actividades físic0o-deportivas.</w:t>
            </w:r>
          </w:p>
        </w:tc>
        <w:tc>
          <w:tcPr>
            <w:tcW w:w="4079" w:type="dxa"/>
            <w:gridSpan w:val="3"/>
            <w:vMerge w:val="restart"/>
          </w:tcPr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Juegos y deportes: </w:t>
            </w:r>
          </w:p>
          <w:p w:rsidR="00FF037B" w:rsidRDefault="00FF037B" w:rsidP="00E212D4">
            <w:pPr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E212D4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-Juegos predeportivos. La organi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zación de ataque y de defensa e</w:t>
            </w:r>
            <w:r w:rsidRPr="00E212D4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n las actividades físico-deportivas de oposición o de colaboración oposición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. Objetivos del juego en ataque y defensa.</w:t>
            </w:r>
          </w:p>
          <w:p w:rsidR="00FF037B" w:rsidRDefault="00FF037B" w:rsidP="00E212D4">
            <w:pPr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- La tolerancia y deportividad como participantes en actividades físico-deportivas. El trabajo en equipo y la cooperación desde el respeto por el nivel individual.</w:t>
            </w:r>
          </w:p>
          <w:p w:rsidR="00FF037B" w:rsidRPr="00E212D4" w:rsidRDefault="00FF037B" w:rsidP="00E212D4">
            <w:pPr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La actividad física y la corporalidad en el contexto social.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FF037B" w:rsidRPr="00086F6D" w:rsidRDefault="00FF037B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 DE ETAPA (RD 1105/2014)</w:t>
            </w:r>
          </w:p>
        </w:tc>
      </w:tr>
      <w:tr w:rsidR="007A0A4E" w:rsidRPr="00086F6D" w:rsidTr="00FF037B">
        <w:trPr>
          <w:trHeight w:val="479"/>
        </w:trPr>
        <w:tc>
          <w:tcPr>
            <w:tcW w:w="3936" w:type="dxa"/>
            <w:gridSpan w:val="3"/>
            <w:vMerge/>
            <w:tcBorders>
              <w:left w:val="single" w:sz="2" w:space="0" w:color="000000" w:themeColor="text1"/>
            </w:tcBorders>
          </w:tcPr>
          <w:p w:rsidR="00FF037B" w:rsidRPr="0015787C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  <w:vMerge/>
          </w:tcPr>
          <w:p w:rsidR="00FF037B" w:rsidRPr="00E212D4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9" w:type="dxa"/>
            <w:gridSpan w:val="3"/>
            <w:vMerge/>
          </w:tcPr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FF037B" w:rsidRPr="00FF037B" w:rsidRDefault="00FF037B" w:rsidP="00FF037B">
            <w:pPr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FF037B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K)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Conocer y aceptar el funcionamiento del propio cuerpo y el de los otros, respetar las diferencias, afianzar hábitos de cuidado y salud corporales e incorporar la educación física y la práctica del deporte para favorecer el desarrollo personal y social. Conocer y valorar la dimensión humana de la sexualidad en toda su diversidad. Valorar críticamente los hábitos sociales relacionados con la salud, el consumo, el cuidado de los seres vivos y el medio ambiente, contribuyendo a su conservación y mejora.</w:t>
            </w:r>
          </w:p>
        </w:tc>
      </w:tr>
      <w:tr w:rsidR="007A0A4E" w:rsidRPr="00086F6D" w:rsidTr="00FF037B">
        <w:trPr>
          <w:trHeight w:val="557"/>
        </w:trPr>
        <w:tc>
          <w:tcPr>
            <w:tcW w:w="3936" w:type="dxa"/>
            <w:gridSpan w:val="3"/>
            <w:vMerge/>
            <w:tcBorders>
              <w:left w:val="single" w:sz="2" w:space="0" w:color="000000" w:themeColor="text1"/>
            </w:tcBorders>
          </w:tcPr>
          <w:p w:rsidR="00FF037B" w:rsidRPr="0015787C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  <w:vMerge/>
          </w:tcPr>
          <w:p w:rsidR="00FF037B" w:rsidRPr="00E212D4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9" w:type="dxa"/>
            <w:gridSpan w:val="3"/>
            <w:vMerge/>
          </w:tcPr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FF037B" w:rsidRPr="00086F6D" w:rsidRDefault="00FF037B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 DE MATERIA (Orden de 14 de julio de 2016)</w:t>
            </w:r>
          </w:p>
        </w:tc>
      </w:tr>
      <w:tr w:rsidR="007A0A4E" w:rsidRPr="00086F6D" w:rsidTr="00C82664">
        <w:trPr>
          <w:trHeight w:val="2276"/>
        </w:trPr>
        <w:tc>
          <w:tcPr>
            <w:tcW w:w="3936" w:type="dxa"/>
            <w:gridSpan w:val="3"/>
            <w:vMerge/>
            <w:tcBorders>
              <w:left w:val="single" w:sz="2" w:space="0" w:color="000000" w:themeColor="text1"/>
            </w:tcBorders>
          </w:tcPr>
          <w:p w:rsidR="00FF037B" w:rsidRPr="0015787C" w:rsidRDefault="00FF037B" w:rsidP="0015787C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  <w:vMerge/>
          </w:tcPr>
          <w:p w:rsidR="00FF037B" w:rsidRPr="00E212D4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9" w:type="dxa"/>
            <w:gridSpan w:val="3"/>
            <w:vMerge/>
          </w:tcPr>
          <w:p w:rsidR="00FF037B" w:rsidRDefault="00FF037B" w:rsidP="00E212D4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FF037B" w:rsidRDefault="00FF037B" w:rsidP="00FF037B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7.- Conocer y aplicar con éxito los principales fundamentos técnico-tácticos y/o habilidades motrices específicas de las actividades físico-deportivas tanto individuales como colectivas, en situaciones de oposición y en situaciones colaboración con y sin oponentes, practicadas a lo largo de la etapa.</w:t>
            </w:r>
          </w:p>
          <w:p w:rsidR="00FF037B" w:rsidRDefault="00FF037B" w:rsidP="00FF037B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9.- Valorar la riqueza de los entornos naturales y urbanos de Andalucía así como la necesidad de su cuidado y conservación a través del uso y disfrute de los mismos mediante la práctica en ellos de distintas actividades físicas.</w:t>
            </w:r>
          </w:p>
          <w:p w:rsidR="00FF037B" w:rsidRPr="00FF037B" w:rsidRDefault="00FF037B" w:rsidP="00FF037B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11.-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7A0A4E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4486" w:type="dxa"/>
            <w:gridSpan w:val="4"/>
          </w:tcPr>
          <w:p w:rsidR="00086F6D" w:rsidRPr="00E212D4" w:rsidRDefault="00E212D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TORNEO DE VOLEIBOL EN EL VELÓDROMO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2" w:space="0" w:color="000000" w:themeColor="text1"/>
            </w:tcBorders>
          </w:tcPr>
          <w:p w:rsidR="00086F6D" w:rsidRDefault="00E212D4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Realización de un partido de voleibol. Formación de equipos según nivel de destreza. Organización, planificación y desarrollo del torno.</w:t>
            </w:r>
          </w:p>
          <w:p w:rsidR="00BA31B7" w:rsidRPr="00086F6D" w:rsidRDefault="00BA31B7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FF165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27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C82664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</w:t>
            </w:r>
            <w:r w:rsidR="00A11B7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agrupamientos</w:t>
            </w: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  <w:r w:rsidR="00BA31B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(SESIÓN 1ª)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INTRODUCCIÓN AL VOLEIBOL Y</w:t>
            </w:r>
          </w:p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EVALUACIÓN INICIAL</w:t>
            </w:r>
          </w:p>
        </w:tc>
        <w:tc>
          <w:tcPr>
            <w:tcW w:w="2360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Explicación de la historia, aspectos técnicos y tácticos y normas básicas.</w:t>
            </w:r>
          </w:p>
          <w:p w:rsidR="000B2425" w:rsidRDefault="000B2425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Explicación de la UDI.</w:t>
            </w:r>
          </w:p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Comprender.</w:t>
            </w:r>
          </w:p>
        </w:tc>
        <w:tc>
          <w:tcPr>
            <w:tcW w:w="212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 w:val="restart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Aula.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Gran grupo. </w:t>
            </w:r>
            <w:r w:rsidR="00802A9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Mando directo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Autopases de dedos y antebrazos.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Producir, ejecutar.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Balón de voleibol.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Asignación de tareas, enseñanza globalizada.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Saque contra la pared.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Producir, ejecutar.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Balón de voleibol.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282226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Asignación de tareas, enseñanza globalizada.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Pase de dedos,  antebrazos y saque en parejas.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AE25A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Valorar, juzgar, mostrar</w:t>
            </w:r>
          </w:p>
        </w:tc>
        <w:tc>
          <w:tcPr>
            <w:tcW w:w="212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Balón de voleibol y planilla de observación para el alumno/a (evaluación compartida).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Pr="00086F6D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Tríos. </w:t>
            </w:r>
            <w:r w:rsidRPr="00282226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Asignación de tareas, enseñanza globalizada.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Trabajo cooperativo.</w:t>
            </w:r>
          </w:p>
        </w:tc>
      </w:tr>
      <w:tr w:rsidR="00775D9F" w:rsidRPr="00086F6D" w:rsidTr="00086F6D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90067E" w:rsidRPr="00086F6D" w:rsidRDefault="0090067E" w:rsidP="00282226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EXPLICACIÓN DE ASPECTOS TÉCNICOS BÁSICOS.</w:t>
            </w:r>
          </w:p>
        </w:tc>
        <w:tc>
          <w:tcPr>
            <w:tcW w:w="2360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En parejas, pase de dedos, antebrazos con desplazamiento. Saque de mano baja.</w:t>
            </w:r>
          </w:p>
        </w:tc>
        <w:tc>
          <w:tcPr>
            <w:tcW w:w="2126" w:type="dxa"/>
            <w:gridSpan w:val="2"/>
          </w:tcPr>
          <w:p w:rsidR="0090067E" w:rsidRDefault="0090067E" w:rsidP="00AE25A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Ajustar, producir, ejecutar, calcular, reordenar.</w:t>
            </w:r>
          </w:p>
        </w:tc>
        <w:tc>
          <w:tcPr>
            <w:tcW w:w="2126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 w:val="restart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90067E" w:rsidRPr="00086F6D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Balón de voleibol.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90067E" w:rsidRDefault="00775D9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Parejas. </w:t>
            </w:r>
            <w:r w:rsidR="0090067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Descubrimiento guiado.</w:t>
            </w:r>
          </w:p>
        </w:tc>
      </w:tr>
      <w:tr w:rsidR="00775D9F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90067E" w:rsidRDefault="0090067E" w:rsidP="00282226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Juego: Corre que no la pillas.</w:t>
            </w:r>
          </w:p>
        </w:tc>
        <w:tc>
          <w:tcPr>
            <w:tcW w:w="2126" w:type="dxa"/>
            <w:gridSpan w:val="2"/>
          </w:tcPr>
          <w:p w:rsidR="0090067E" w:rsidRDefault="0090067E" w:rsidP="00AE25A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 y demostrar.</w:t>
            </w:r>
          </w:p>
        </w:tc>
        <w:tc>
          <w:tcPr>
            <w:tcW w:w="2126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/>
          </w:tcPr>
          <w:p w:rsidR="0090067E" w:rsidRPr="00086F6D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90067E" w:rsidRDefault="0090067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Balón de voleibol.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90067E" w:rsidRDefault="00775D9F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Tríos. </w:t>
            </w:r>
            <w:r w:rsidR="0090067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Descubrimiento guiado y </w:t>
            </w:r>
            <w:r w:rsidR="0090067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resolución de problemas.</w:t>
            </w: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B837D3" w:rsidRPr="00086F6D" w:rsidRDefault="00086F6D" w:rsidP="00B837D3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FASE DE DESARROLLO</w:t>
            </w:r>
          </w:p>
        </w:tc>
      </w:tr>
      <w:tr w:rsidR="00B837D3" w:rsidRPr="00086F6D" w:rsidTr="00086F6D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Desarrollo de los aspectos técnicos básicos.</w:t>
            </w:r>
          </w:p>
        </w:tc>
        <w:tc>
          <w:tcPr>
            <w:tcW w:w="2360" w:type="dxa"/>
            <w:gridSpan w:val="2"/>
          </w:tcPr>
          <w:p w:rsidR="00B837D3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Juego de relevos en la cancha (saque, bloqueo, desplazamiento y pase).</w:t>
            </w:r>
          </w:p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utilizar, demostrar, distinguir, predecir y seleccionar.</w:t>
            </w:r>
          </w:p>
        </w:tc>
        <w:tc>
          <w:tcPr>
            <w:tcW w:w="2126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 w:val="restart"/>
          </w:tcPr>
          <w:p w:rsidR="00B837D3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(con red), balón y silbato (para iniciar los relevos).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de 4. Descubrimiento guiado y resolución de problemas.</w:t>
            </w:r>
          </w:p>
        </w:tc>
      </w:tr>
      <w:tr w:rsidR="00B837D3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B837D3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B837D3" w:rsidRPr="00B837D3" w:rsidRDefault="00B837D3" w:rsidP="00B837D3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2x2 adaptando</w:t>
            </w:r>
            <w:r w:rsidR="00483A1C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las dimensiones de la cancha,</w:t>
            </w:r>
            <w:r w:rsidR="006B47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altura de la red,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reglamento a 10 puntos y permitiendo 1 bote. Cambio de parejas cada 4´.</w:t>
            </w:r>
          </w:p>
        </w:tc>
        <w:tc>
          <w:tcPr>
            <w:tcW w:w="2126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utilizar, demostrar, distinguir, predecir y seleccionar.</w:t>
            </w:r>
          </w:p>
        </w:tc>
        <w:tc>
          <w:tcPr>
            <w:tcW w:w="2126" w:type="dxa"/>
            <w:gridSpan w:val="2"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/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B837D3" w:rsidRPr="00086F6D" w:rsidRDefault="00B837D3" w:rsidP="00B837D3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(con red)</w:t>
            </w:r>
            <w:r w:rsidR="006B476E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, conos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y balón.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B837D3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Parejas. Resolución de problemas.</w:t>
            </w:r>
          </w:p>
        </w:tc>
      </w:tr>
      <w:tr w:rsidR="006B476E" w:rsidRPr="00086F6D" w:rsidTr="00086F6D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Desarrollo de los aspectos técnicos básicos.</w:t>
            </w:r>
          </w:p>
        </w:tc>
        <w:tc>
          <w:tcPr>
            <w:tcW w:w="2360" w:type="dxa"/>
            <w:gridSpan w:val="2"/>
          </w:tcPr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gigante que vuela. (Adaptación de pelota y de reglas).</w:t>
            </w:r>
          </w:p>
        </w:tc>
        <w:tc>
          <w:tcPr>
            <w:tcW w:w="2126" w:type="dxa"/>
            <w:gridSpan w:val="2"/>
          </w:tcPr>
          <w:p w:rsidR="006B476E" w:rsidRPr="00B837D3" w:rsidRDefault="006B476E" w:rsidP="00B837D3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utilizar, demostrar, distinguir, predecir y seleccionar.</w:t>
            </w:r>
          </w:p>
        </w:tc>
        <w:tc>
          <w:tcPr>
            <w:tcW w:w="2126" w:type="dxa"/>
            <w:gridSpan w:val="2"/>
          </w:tcPr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 w:val="restart"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con red, balón gigante y cuerdas para atarse las manos en parejas.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6B476E" w:rsidRPr="00086F6D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Dos grandes grupos. Resolución de problemas.</w:t>
            </w:r>
          </w:p>
        </w:tc>
      </w:tr>
      <w:tr w:rsidR="006B476E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6B476E" w:rsidRDefault="006B476E" w:rsidP="00483A1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juego de los puntos (Saque y recepción. División del campo por zonas y puntos)</w:t>
            </w:r>
          </w:p>
        </w:tc>
        <w:tc>
          <w:tcPr>
            <w:tcW w:w="2126" w:type="dxa"/>
            <w:gridSpan w:val="2"/>
          </w:tcPr>
          <w:p w:rsidR="006B476E" w:rsidRDefault="006B476E" w:rsidP="00483A1C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ejecutar, utilizar, demostrar, analizar, puntuar y decidir.</w:t>
            </w:r>
          </w:p>
        </w:tc>
        <w:tc>
          <w:tcPr>
            <w:tcW w:w="2126" w:type="dxa"/>
            <w:gridSpan w:val="2"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con red, balones, tiza (para marcar las zonas en la pista) y hoja de control para anotar los puntos.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Por equipos. Resolución de problemas.</w:t>
            </w:r>
          </w:p>
        </w:tc>
      </w:tr>
      <w:tr w:rsidR="006B476E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6B476E" w:rsidRDefault="006B476E" w:rsidP="00483A1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3x3 adaptando las dimensiones de la cancha y altura de la red. Jueg</w:t>
            </w:r>
            <w:r w:rsidR="00802A9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o libre buscando </w:t>
            </w:r>
            <w:r w:rsidR="00802A9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espacios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, decidiendo la técnica adecuada según </w:t>
            </w:r>
            <w:r w:rsidR="00802A9B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la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situación. Aplicación de rotación.</w:t>
            </w:r>
          </w:p>
        </w:tc>
        <w:tc>
          <w:tcPr>
            <w:tcW w:w="2126" w:type="dxa"/>
            <w:gridSpan w:val="2"/>
          </w:tcPr>
          <w:p w:rsidR="006B476E" w:rsidRDefault="006B476E" w:rsidP="00483A1C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Aplicar, elegir, ejecutar, utilizar, demostrar, distinguir, predecir y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seleccionar.</w:t>
            </w:r>
          </w:p>
        </w:tc>
        <w:tc>
          <w:tcPr>
            <w:tcW w:w="2126" w:type="dxa"/>
            <w:gridSpan w:val="2"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Individual y social.</w:t>
            </w:r>
          </w:p>
        </w:tc>
        <w:tc>
          <w:tcPr>
            <w:tcW w:w="2327" w:type="dxa"/>
            <w:vMerge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(con red), conos y balón.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6B476E" w:rsidRDefault="006B476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Tríos. Resolución de problemas.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Desarrollo de los aspectos técnicos-tácticos básicos.</w:t>
            </w:r>
          </w:p>
        </w:tc>
        <w:tc>
          <w:tcPr>
            <w:tcW w:w="2360" w:type="dxa"/>
            <w:gridSpan w:val="2"/>
          </w:tcPr>
          <w:p w:rsidR="00802A9B" w:rsidRDefault="00802A9B" w:rsidP="00483A1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Juego: El ladrón de balones.</w:t>
            </w:r>
          </w:p>
        </w:tc>
        <w:tc>
          <w:tcPr>
            <w:tcW w:w="2126" w:type="dxa"/>
            <w:gridSpan w:val="2"/>
          </w:tcPr>
          <w:p w:rsidR="00802A9B" w:rsidRDefault="00802A9B" w:rsidP="007A0A4E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utilizar, demostrar, reconocer.</w:t>
            </w:r>
          </w:p>
        </w:tc>
        <w:tc>
          <w:tcPr>
            <w:tcW w:w="212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</w:tc>
        <w:tc>
          <w:tcPr>
            <w:tcW w:w="2327" w:type="dxa"/>
            <w:vMerge w:val="restart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Pista polideportiva, balón red o cesta (para meter balones).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 Resolución de problemas.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802A9B" w:rsidRDefault="00802A9B" w:rsidP="00483A1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Juego: Top mil (suma de puntos)</w:t>
            </w:r>
          </w:p>
        </w:tc>
        <w:tc>
          <w:tcPr>
            <w:tcW w:w="2126" w:type="dxa"/>
            <w:gridSpan w:val="2"/>
          </w:tcPr>
          <w:p w:rsidR="00802A9B" w:rsidRDefault="00802A9B" w:rsidP="007A0A4E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decidir, ejecutar, utilizar, demostrar, seleccionar, calcular y puntuar.</w:t>
            </w:r>
          </w:p>
        </w:tc>
        <w:tc>
          <w:tcPr>
            <w:tcW w:w="212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  <w:vMerge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(con red)y balón.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 Resolución de problemas.</w:t>
            </w:r>
          </w:p>
        </w:tc>
      </w:tr>
      <w:tr w:rsidR="00802A9B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802A9B" w:rsidRDefault="00802A9B" w:rsidP="00483A1C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4x4 adaptando las dimensiones de la cancha y altura de la red. Juego libre buscando espacios, decidiendo la técnica y táctica adecuada según la situación. Aplicación de rotación.</w:t>
            </w:r>
          </w:p>
        </w:tc>
        <w:tc>
          <w:tcPr>
            <w:tcW w:w="2126" w:type="dxa"/>
            <w:gridSpan w:val="2"/>
          </w:tcPr>
          <w:p w:rsidR="00802A9B" w:rsidRDefault="00802A9B" w:rsidP="007A0A4E">
            <w:pPr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Aplicar, elegir, ejecutar, utilizar, demostrar, distinguir, predecir y seleccionar.</w:t>
            </w:r>
          </w:p>
        </w:tc>
        <w:tc>
          <w:tcPr>
            <w:tcW w:w="212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social.</w:t>
            </w:r>
          </w:p>
        </w:tc>
        <w:tc>
          <w:tcPr>
            <w:tcW w:w="2327" w:type="dxa"/>
            <w:vMerge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Cancha de voleibol (con red), conos y balón.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 de 4. Resolución de problemas.</w:t>
            </w:r>
          </w:p>
          <w:p w:rsidR="00802A9B" w:rsidRDefault="00802A9B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B837D3" w:rsidRPr="00086F6D" w:rsidTr="00441BCE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B837D3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EVALUACIÓN TEÓRICA</w:t>
            </w:r>
          </w:p>
        </w:tc>
        <w:tc>
          <w:tcPr>
            <w:tcW w:w="2360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Examen escrito</w:t>
            </w:r>
          </w:p>
        </w:tc>
        <w:tc>
          <w:tcPr>
            <w:tcW w:w="2126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Recordar, aplicar, demostrar.</w:t>
            </w:r>
          </w:p>
        </w:tc>
        <w:tc>
          <w:tcPr>
            <w:tcW w:w="2126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</w:t>
            </w:r>
          </w:p>
        </w:tc>
        <w:tc>
          <w:tcPr>
            <w:tcW w:w="2327" w:type="dxa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Una sesión</w:t>
            </w:r>
          </w:p>
        </w:tc>
        <w:tc>
          <w:tcPr>
            <w:tcW w:w="2086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Aula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Individual. Asignación de tareas.</w:t>
            </w:r>
          </w:p>
        </w:tc>
      </w:tr>
      <w:tr w:rsidR="00B837D3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EVALUACIÓN PRÁCTICA (TAREA COMPETENCIAL)</w:t>
            </w:r>
          </w:p>
        </w:tc>
        <w:tc>
          <w:tcPr>
            <w:tcW w:w="2360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Liguilla en el velódromo de 4x4</w:t>
            </w:r>
            <w:r w:rsidR="00BE6EF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(en dos canchas, </w:t>
            </w:r>
            <w:r w:rsidR="00BE6EFF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juegan 4 equipos, y el resto evalúa a sus compañeros/as).</w:t>
            </w:r>
          </w:p>
        </w:tc>
        <w:tc>
          <w:tcPr>
            <w:tcW w:w="2126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Aplicar, elegir, producir, ejecutar, utilizar,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demostrar, distinguir, predecir, seleccionar, calificar y valorar.</w:t>
            </w:r>
          </w:p>
        </w:tc>
        <w:tc>
          <w:tcPr>
            <w:tcW w:w="2126" w:type="dxa"/>
            <w:gridSpan w:val="2"/>
          </w:tcPr>
          <w:p w:rsidR="00B837D3" w:rsidRPr="00086F6D" w:rsidRDefault="00FF165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Individual, social y comunitario.</w:t>
            </w:r>
          </w:p>
        </w:tc>
        <w:tc>
          <w:tcPr>
            <w:tcW w:w="2327" w:type="dxa"/>
          </w:tcPr>
          <w:p w:rsidR="00B837D3" w:rsidRPr="00086F6D" w:rsidRDefault="00FA1FA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Dos sesiones</w:t>
            </w:r>
          </w:p>
        </w:tc>
        <w:tc>
          <w:tcPr>
            <w:tcW w:w="2086" w:type="dxa"/>
            <w:gridSpan w:val="2"/>
          </w:tcPr>
          <w:p w:rsidR="00B837D3" w:rsidRPr="00086F6D" w:rsidRDefault="00FA1FA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Velódromo (pista de voleibol)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FA1FAE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Grupos de 4. Resolución de problemas y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descubrimiento guiado.</w:t>
            </w:r>
          </w:p>
        </w:tc>
      </w:tr>
      <w:tr w:rsidR="00B837D3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FF165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327" w:type="dxa"/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B837D3" w:rsidRPr="00086F6D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Ponderación del criterio en la UDI</w:t>
            </w:r>
          </w:p>
        </w:tc>
      </w:tr>
      <w:tr w:rsidR="00BE6EFF" w:rsidRPr="00086F6D" w:rsidTr="00041171">
        <w:tc>
          <w:tcPr>
            <w:tcW w:w="2568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BE6EFF" w:rsidRPr="00041171" w:rsidRDefault="00041171" w:rsidP="00041171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3.- Resolver situaciones motrices de oposici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ón, colaboración o colaboración-</w:t>
            </w: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oposición, utilizando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las </w:t>
            </w:r>
            <w:r w:rsidRPr="0015787C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estrategias más adecuadas en función de los estímulos relevantes.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 CMCT, CAA, CSC, SIEP.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BE6EFF" w:rsidRPr="00562DC2" w:rsidRDefault="00041171" w:rsidP="00041171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 w:rsidRPr="00E212D4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3.1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Adapta los fundamentos técnicos y tácticos para obtener ventaja en la práctica de las actividades físico-deportivas de oposición o de colaboración-oposición.</w:t>
            </w:r>
          </w:p>
        </w:tc>
        <w:tc>
          <w:tcPr>
            <w:tcW w:w="2126" w:type="dxa"/>
            <w:gridSpan w:val="2"/>
          </w:tcPr>
          <w:p w:rsidR="00514D86" w:rsidRPr="00086F6D" w:rsidRDefault="009A0A49" w:rsidP="002A5C87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- Examen teórico (profesor) y práctico (profesor y alumnado </w:t>
            </w:r>
            <w:r w:rsidR="002A5C8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mediante rúbrica).</w:t>
            </w:r>
          </w:p>
        </w:tc>
        <w:tc>
          <w:tcPr>
            <w:tcW w:w="2126" w:type="dxa"/>
            <w:gridSpan w:val="2"/>
          </w:tcPr>
          <w:p w:rsidR="00BE6EFF" w:rsidRDefault="0004117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0 a 4</w:t>
            </w:r>
          </w:p>
          <w:p w:rsidR="00041171" w:rsidRPr="00086F6D" w:rsidRDefault="00041171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No adapta los fundamentos </w:t>
            </w:r>
            <w:r w:rsidR="00C46EA6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técnico-tácticos-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327" w:type="dxa"/>
          </w:tcPr>
          <w:p w:rsidR="00BE6EFF" w:rsidRDefault="0004117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5 a 7</w:t>
            </w:r>
          </w:p>
          <w:p w:rsidR="00041171" w:rsidRPr="00086F6D" w:rsidRDefault="00C46EA6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Adapta los fundamentos técnico-tácticos sin poner en dificultades a los adversarios.</w:t>
            </w:r>
          </w:p>
        </w:tc>
        <w:tc>
          <w:tcPr>
            <w:tcW w:w="2086" w:type="dxa"/>
            <w:gridSpan w:val="2"/>
          </w:tcPr>
          <w:p w:rsidR="00BE6EFF" w:rsidRDefault="00041171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8 a 10</w:t>
            </w:r>
          </w:p>
          <w:p w:rsidR="00C46EA6" w:rsidRPr="00086F6D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Adapta los fundamentos técnico-tácticos correctamente.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E6EFF" w:rsidRPr="00086F6D" w:rsidRDefault="000B2425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40 %</w:t>
            </w:r>
          </w:p>
        </w:tc>
      </w:tr>
      <w:tr w:rsidR="00BE6EFF" w:rsidRPr="00086F6D" w:rsidTr="00086F6D">
        <w:tc>
          <w:tcPr>
            <w:tcW w:w="2568" w:type="dxa"/>
            <w:gridSpan w:val="2"/>
            <w:vMerge/>
            <w:tcBorders>
              <w:left w:val="single" w:sz="2" w:space="0" w:color="000000" w:themeColor="text1"/>
            </w:tcBorders>
          </w:tcPr>
          <w:p w:rsidR="00BE6EFF" w:rsidRPr="00086F6D" w:rsidRDefault="00BE6EF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BE6EFF" w:rsidRPr="00086F6D" w:rsidRDefault="00041171" w:rsidP="00041171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3.2 Describe y pone en práctica de manera autónoma aspectos de organización de ataque y de defensa en las actividades físico-deportivas de oposición o de colaboración-oposición seleccionadas.</w:t>
            </w:r>
          </w:p>
        </w:tc>
        <w:tc>
          <w:tcPr>
            <w:tcW w:w="2126" w:type="dxa"/>
            <w:gridSpan w:val="2"/>
          </w:tcPr>
          <w:p w:rsidR="00BE6EFF" w:rsidRPr="00086F6D" w:rsidRDefault="009A0A49" w:rsidP="002A5C8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Examen teórico (profesor) y práctico (profesor y alumnado mediante </w:t>
            </w:r>
            <w:r w:rsidR="002A5C87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).</w:t>
            </w:r>
          </w:p>
        </w:tc>
        <w:tc>
          <w:tcPr>
            <w:tcW w:w="2126" w:type="dxa"/>
            <w:gridSpan w:val="2"/>
          </w:tcPr>
          <w:p w:rsid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0 a 4</w:t>
            </w:r>
          </w:p>
          <w:p w:rsidR="00BE6EFF" w:rsidRPr="00086F6D" w:rsidRDefault="00C46EA6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no aplica las reglas.</w:t>
            </w:r>
          </w:p>
        </w:tc>
        <w:tc>
          <w:tcPr>
            <w:tcW w:w="2327" w:type="dxa"/>
          </w:tcPr>
          <w:p w:rsid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5 a 7</w:t>
            </w:r>
          </w:p>
          <w:p w:rsidR="00C46EA6" w:rsidRP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El alumno no siempre sabe lo que tiene que hacer,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C46EA6" w:rsidRPr="00C46EA6">
              <w:trPr>
                <w:trHeight w:val="356"/>
              </w:trPr>
              <w:tc>
                <w:tcPr>
                  <w:tcW w:w="0" w:type="auto"/>
                </w:tcPr>
                <w:p w:rsidR="00C46EA6" w:rsidRPr="00C46EA6" w:rsidRDefault="00C46EA6" w:rsidP="00C46EA6">
                  <w:pPr>
                    <w:spacing w:after="0"/>
                    <w:contextualSpacing/>
                    <w:jc w:val="center"/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</w:pP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t xml:space="preserve">quién saca, cuando rotar, quién gana o pierde punto. </w:t>
                  </w:r>
                </w:p>
              </w:tc>
            </w:tr>
          </w:tbl>
          <w:p w:rsidR="00BE6EFF" w:rsidRPr="00086F6D" w:rsidRDefault="00BE6EF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C46EA6" w:rsidRP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8 a 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0"/>
            </w:tblGrid>
            <w:tr w:rsidR="00C46EA6" w:rsidRPr="00C46EA6">
              <w:trPr>
                <w:trHeight w:val="863"/>
              </w:trPr>
              <w:tc>
                <w:tcPr>
                  <w:tcW w:w="0" w:type="auto"/>
                </w:tcPr>
                <w:p w:rsidR="00C46EA6" w:rsidRPr="00C46EA6" w:rsidRDefault="00C46EA6" w:rsidP="00C46EA6">
                  <w:pPr>
                    <w:spacing w:after="0"/>
                    <w:contextualSpacing/>
                    <w:jc w:val="center"/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</w:pP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t xml:space="preserve"> El alumno aplica siempre las reglas y sabe siempre cuándo tiene que rotar o lo que está o no permitido etc… </w:t>
                  </w:r>
                </w:p>
              </w:tc>
            </w:tr>
          </w:tbl>
          <w:p w:rsidR="00BE6EFF" w:rsidRPr="00086F6D" w:rsidRDefault="00BE6EFF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E6EFF" w:rsidRPr="00086F6D" w:rsidRDefault="000B2425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30 %</w:t>
            </w:r>
          </w:p>
        </w:tc>
      </w:tr>
      <w:tr w:rsidR="00B837D3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B837D3" w:rsidRPr="00041171" w:rsidRDefault="00041171" w:rsidP="00041171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 xml:space="preserve">7.- Reconocer las posibilidades de las actividades físicas y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>artístico-expresivas como formas de inclusión social facilitando la eliminación de obstáculos a la participación de otras personas independientemente de sus características, colaborando con los demás y aceptando sus aportaciones. CAA, CSC, SIEP.</w:t>
            </w:r>
          </w:p>
        </w:tc>
        <w:tc>
          <w:tcPr>
            <w:tcW w:w="2360" w:type="dxa"/>
            <w:gridSpan w:val="2"/>
          </w:tcPr>
          <w:p w:rsidR="00C46EA6" w:rsidRDefault="00C46EA6" w:rsidP="00C46EA6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7.2 Colabora en las actividades grupales 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>respetando las aportaciones de los demás y las normas establecidas y asumiendo sus responsabilidades para la consecución de los objetivos.</w:t>
            </w:r>
          </w:p>
          <w:p w:rsidR="00B837D3" w:rsidRPr="00086F6D" w:rsidRDefault="00B837D3" w:rsidP="00C46EA6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B837D3" w:rsidRPr="00086F6D" w:rsidRDefault="009A0A49" w:rsidP="009A0A49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Hoja de control diaria (profesor observación)</w:t>
            </w:r>
          </w:p>
        </w:tc>
        <w:tc>
          <w:tcPr>
            <w:tcW w:w="2126" w:type="dxa"/>
            <w:gridSpan w:val="2"/>
          </w:tcPr>
          <w:p w:rsid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0 a 4</w:t>
            </w:r>
          </w:p>
          <w:p w:rsidR="00B837D3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0"/>
            </w:tblGrid>
            <w:tr w:rsidR="00C46EA6" w:rsidRPr="00C46EA6">
              <w:trPr>
                <w:trHeight w:val="1368"/>
              </w:trPr>
              <w:tc>
                <w:tcPr>
                  <w:tcW w:w="0" w:type="auto"/>
                </w:tcPr>
                <w:p w:rsidR="00C46EA6" w:rsidRPr="00C46EA6" w:rsidRDefault="00C46EA6" w:rsidP="00C46EA6">
                  <w:pPr>
                    <w:spacing w:after="0"/>
                    <w:contextualSpacing/>
                    <w:jc w:val="center"/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</w:pP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lastRenderedPageBreak/>
                    <w:t xml:space="preserve">El alumno no participa en el juego, evita siempre que le pasen el balón, no está atento al juego o muestra demasiada apatía. </w:t>
                  </w:r>
                </w:p>
              </w:tc>
            </w:tr>
          </w:tbl>
          <w:p w:rsidR="00C46EA6" w:rsidRPr="00C46EA6" w:rsidRDefault="00C46EA6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 5 a 7</w:t>
            </w:r>
          </w:p>
          <w:p w:rsidR="00B837D3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C46EA6" w:rsidRPr="00C46EA6">
              <w:trPr>
                <w:trHeight w:val="1116"/>
              </w:trPr>
              <w:tc>
                <w:tcPr>
                  <w:tcW w:w="0" w:type="auto"/>
                </w:tcPr>
                <w:p w:rsidR="00C46EA6" w:rsidRPr="00C46EA6" w:rsidRDefault="00C46EA6" w:rsidP="00C46EA6">
                  <w:pPr>
                    <w:spacing w:after="0"/>
                    <w:contextualSpacing/>
                    <w:jc w:val="center"/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</w:pP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lastRenderedPageBreak/>
                    <w:t xml:space="preserve">El alumno se muestra casi todo el tiempo participativo pero a veces juega sin intención de hacer punto o de construir el juego o pierde la atención o ilusión </w:t>
                  </w:r>
                </w:p>
              </w:tc>
            </w:tr>
          </w:tbl>
          <w:p w:rsidR="00C46EA6" w:rsidRPr="00C46EA6" w:rsidRDefault="00C46EA6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C46EA6" w:rsidRPr="00C46EA6" w:rsidRDefault="00C46EA6" w:rsidP="00C46EA6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 8 a 10</w:t>
            </w:r>
          </w:p>
          <w:p w:rsidR="00B837D3" w:rsidRDefault="00B837D3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0"/>
            </w:tblGrid>
            <w:tr w:rsidR="00C46EA6" w:rsidRPr="00C46EA6">
              <w:trPr>
                <w:trHeight w:val="989"/>
              </w:trPr>
              <w:tc>
                <w:tcPr>
                  <w:tcW w:w="0" w:type="auto"/>
                </w:tcPr>
                <w:p w:rsidR="00C46EA6" w:rsidRPr="00C46EA6" w:rsidRDefault="00C46EA6" w:rsidP="00C46EA6">
                  <w:pPr>
                    <w:spacing w:after="0"/>
                    <w:contextualSpacing/>
                    <w:jc w:val="center"/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</w:pP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lastRenderedPageBreak/>
                    <w:t>El alumno se muestra todo el tiempo participativo, activo, atento e intenta con</w:t>
                  </w:r>
                  <w:r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t>s</w:t>
                  </w:r>
                  <w:r w:rsidRPr="00C46EA6">
                    <w:rPr>
                      <w:rFonts w:ascii="Century Gothic" w:hAnsi="Century Gothic" w:cs="Times New Roman"/>
                      <w:sz w:val="22"/>
                      <w:szCs w:val="22"/>
                      <w:lang w:val="es-ES" w:eastAsia="es-ES"/>
                    </w:rPr>
                    <w:t xml:space="preserve">truir buenas jugadas y hacer punto. </w:t>
                  </w:r>
                </w:p>
              </w:tc>
            </w:tr>
          </w:tbl>
          <w:p w:rsidR="00C46EA6" w:rsidRPr="00C46EA6" w:rsidRDefault="00C46EA6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0B2425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20 %</w:t>
            </w:r>
          </w:p>
        </w:tc>
      </w:tr>
      <w:tr w:rsidR="00B837D3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B837D3" w:rsidRPr="00562DC2" w:rsidRDefault="00041171" w:rsidP="00562DC2">
            <w:pPr>
              <w:contextualSpacing/>
              <w:jc w:val="both"/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8.- Reconocer las posibilidades que ofrecen las actividades físico-deportivas  como formas de ocio activo y de utilización responsable del entorno, facilitando conocer y utilizar espacios urbanos y naturales del entorno próximo para la práctica de actividades físico-deportivas. CMCT, CAA, CSC. </w:t>
            </w:r>
            <w:bookmarkStart w:id="0" w:name="_GoBack"/>
            <w:bookmarkEnd w:id="0"/>
          </w:p>
        </w:tc>
        <w:tc>
          <w:tcPr>
            <w:tcW w:w="2360" w:type="dxa"/>
            <w:gridSpan w:val="2"/>
          </w:tcPr>
          <w:p w:rsidR="00B837D3" w:rsidRPr="00086F6D" w:rsidRDefault="00041171" w:rsidP="00041171">
            <w:pPr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8.1 Conoce las posibilidades que ofrece el entorno para la r</w:t>
            </w:r>
            <w:r w:rsidR="002A5C87"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ealización de actividades físic</w:t>
            </w:r>
            <w:r>
              <w:rPr>
                <w:rFonts w:ascii="Century Gothic" w:hAnsi="Century Gothic" w:cs="Times New Roman"/>
                <w:bCs/>
                <w:color w:val="000000"/>
                <w:sz w:val="22"/>
                <w:szCs w:val="22"/>
                <w:lang w:eastAsia="es-ES"/>
              </w:rPr>
              <w:t>o-deportivas.</w:t>
            </w:r>
          </w:p>
        </w:tc>
        <w:tc>
          <w:tcPr>
            <w:tcW w:w="2126" w:type="dxa"/>
            <w:gridSpan w:val="2"/>
          </w:tcPr>
          <w:p w:rsidR="00B837D3" w:rsidRPr="00086F6D" w:rsidRDefault="000B2425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Portfolio (producción alumnado)</w:t>
            </w:r>
          </w:p>
        </w:tc>
        <w:tc>
          <w:tcPr>
            <w:tcW w:w="2126" w:type="dxa"/>
            <w:gridSpan w:val="2"/>
          </w:tcPr>
          <w:p w:rsidR="002A5C87" w:rsidRDefault="002A5C87" w:rsidP="002A5C8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0 a 4</w:t>
            </w:r>
          </w:p>
          <w:p w:rsidR="00B837D3" w:rsidRPr="00086F6D" w:rsidRDefault="002A5C87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no entrega o entrega muy deficitario el trabajo.</w:t>
            </w:r>
          </w:p>
        </w:tc>
        <w:tc>
          <w:tcPr>
            <w:tcW w:w="2327" w:type="dxa"/>
          </w:tcPr>
          <w:p w:rsidR="002A5C87" w:rsidRDefault="002A5C87" w:rsidP="002A5C8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5 a 7</w:t>
            </w:r>
          </w:p>
          <w:p w:rsidR="00B837D3" w:rsidRPr="00086F6D" w:rsidRDefault="002A5C87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entrega sólo las instalaciones de su entorno inmediato, obviando las del resto del municipio.</w:t>
            </w:r>
          </w:p>
        </w:tc>
        <w:tc>
          <w:tcPr>
            <w:tcW w:w="2086" w:type="dxa"/>
            <w:gridSpan w:val="2"/>
          </w:tcPr>
          <w:p w:rsidR="002A5C87" w:rsidRPr="00C46EA6" w:rsidRDefault="002A5C87" w:rsidP="002A5C87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 8 a 10</w:t>
            </w:r>
          </w:p>
          <w:p w:rsidR="00B837D3" w:rsidRPr="00086F6D" w:rsidRDefault="002A5C87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alumno entrega de manera correcta el trabajo sobre las instalaciones deportivas que ofrece el entorno.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B837D3" w:rsidRPr="00086F6D" w:rsidRDefault="000B2425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10 %</w:t>
            </w:r>
          </w:p>
        </w:tc>
      </w:tr>
    </w:tbl>
    <w:p w:rsidR="00086F6D" w:rsidRPr="00086F6D" w:rsidRDefault="00086F6D" w:rsidP="00C82664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19" w:rsidRDefault="00F43019" w:rsidP="006D682C">
      <w:pPr>
        <w:spacing w:after="0"/>
      </w:pPr>
      <w:r>
        <w:separator/>
      </w:r>
    </w:p>
  </w:endnote>
  <w:endnote w:type="continuationSeparator" w:id="1">
    <w:p w:rsidR="00F43019" w:rsidRDefault="00F43019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19" w:rsidRDefault="00F43019" w:rsidP="006D682C">
      <w:pPr>
        <w:spacing w:after="0"/>
      </w:pPr>
      <w:r>
        <w:separator/>
      </w:r>
    </w:p>
  </w:footnote>
  <w:footnote w:type="continuationSeparator" w:id="1">
    <w:p w:rsidR="00F43019" w:rsidRDefault="00F43019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A" w:rsidRDefault="004341DA" w:rsidP="004341DA">
    <w:pPr>
      <w:pStyle w:val="Normal1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8AC"/>
    <w:multiLevelType w:val="hybridMultilevel"/>
    <w:tmpl w:val="3D32166E"/>
    <w:lvl w:ilvl="0" w:tplc="54A80932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F35B1"/>
    <w:multiLevelType w:val="hybridMultilevel"/>
    <w:tmpl w:val="0F9671B2"/>
    <w:lvl w:ilvl="0" w:tplc="FAE25D56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01D27"/>
    <w:rsid w:val="00041171"/>
    <w:rsid w:val="00052489"/>
    <w:rsid w:val="000528B6"/>
    <w:rsid w:val="00086F6D"/>
    <w:rsid w:val="000A3A59"/>
    <w:rsid w:val="000B2425"/>
    <w:rsid w:val="000E2145"/>
    <w:rsid w:val="0015787C"/>
    <w:rsid w:val="00157CBA"/>
    <w:rsid w:val="0019322C"/>
    <w:rsid w:val="001C5C0A"/>
    <w:rsid w:val="00282226"/>
    <w:rsid w:val="002A5C87"/>
    <w:rsid w:val="002C33DC"/>
    <w:rsid w:val="002C54D1"/>
    <w:rsid w:val="00341770"/>
    <w:rsid w:val="00345E04"/>
    <w:rsid w:val="00362FD8"/>
    <w:rsid w:val="003E7321"/>
    <w:rsid w:val="004341DA"/>
    <w:rsid w:val="00464F2C"/>
    <w:rsid w:val="00483A1C"/>
    <w:rsid w:val="00514D86"/>
    <w:rsid w:val="00536E70"/>
    <w:rsid w:val="00562DC2"/>
    <w:rsid w:val="0059362A"/>
    <w:rsid w:val="006B476E"/>
    <w:rsid w:val="006D682C"/>
    <w:rsid w:val="006F5B30"/>
    <w:rsid w:val="0070399D"/>
    <w:rsid w:val="0074582F"/>
    <w:rsid w:val="00751638"/>
    <w:rsid w:val="00773050"/>
    <w:rsid w:val="00775D9F"/>
    <w:rsid w:val="007924D3"/>
    <w:rsid w:val="007A0A4E"/>
    <w:rsid w:val="007D4BB2"/>
    <w:rsid w:val="007D7A48"/>
    <w:rsid w:val="007F70C8"/>
    <w:rsid w:val="00802A9B"/>
    <w:rsid w:val="008747A2"/>
    <w:rsid w:val="008771EE"/>
    <w:rsid w:val="008C002C"/>
    <w:rsid w:val="008C3F34"/>
    <w:rsid w:val="008D0F58"/>
    <w:rsid w:val="008F6786"/>
    <w:rsid w:val="0090067E"/>
    <w:rsid w:val="00916E41"/>
    <w:rsid w:val="009A0A49"/>
    <w:rsid w:val="009D0991"/>
    <w:rsid w:val="009E140E"/>
    <w:rsid w:val="00A04635"/>
    <w:rsid w:val="00A11B73"/>
    <w:rsid w:val="00A25994"/>
    <w:rsid w:val="00A43AED"/>
    <w:rsid w:val="00AD725A"/>
    <w:rsid w:val="00AE2451"/>
    <w:rsid w:val="00AE25A7"/>
    <w:rsid w:val="00B837D3"/>
    <w:rsid w:val="00B93AC3"/>
    <w:rsid w:val="00BA31B7"/>
    <w:rsid w:val="00BE6EFF"/>
    <w:rsid w:val="00C23FD4"/>
    <w:rsid w:val="00C31CD0"/>
    <w:rsid w:val="00C46EA6"/>
    <w:rsid w:val="00C82664"/>
    <w:rsid w:val="00C95C83"/>
    <w:rsid w:val="00D37485"/>
    <w:rsid w:val="00D56DF6"/>
    <w:rsid w:val="00DE666C"/>
    <w:rsid w:val="00E212D4"/>
    <w:rsid w:val="00E706BC"/>
    <w:rsid w:val="00E91D74"/>
    <w:rsid w:val="00EA5B70"/>
    <w:rsid w:val="00EE7A2E"/>
    <w:rsid w:val="00EF439D"/>
    <w:rsid w:val="00F43019"/>
    <w:rsid w:val="00F443E2"/>
    <w:rsid w:val="00F47D46"/>
    <w:rsid w:val="00FA1FAE"/>
    <w:rsid w:val="00FC6AD2"/>
    <w:rsid w:val="00FE4A0B"/>
    <w:rsid w:val="00FF037B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1830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PORTATIL</cp:lastModifiedBy>
  <cp:revision>19</cp:revision>
  <cp:lastPrinted>2018-03-08T11:36:00Z</cp:lastPrinted>
  <dcterms:created xsi:type="dcterms:W3CDTF">2018-02-27T10:56:00Z</dcterms:created>
  <dcterms:modified xsi:type="dcterms:W3CDTF">2018-05-21T17:15:00Z</dcterms:modified>
</cp:coreProperties>
</file>