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32" w:rsidRPr="00A13038" w:rsidRDefault="00A13038">
      <w:pPr>
        <w:pStyle w:val="Textoindependiente"/>
        <w:rPr>
          <w:rFonts w:ascii="Times New Roman" w:hAnsi="Times New Roman" w:cs="Times New Roman"/>
          <w:b/>
          <w:bCs/>
          <w:sz w:val="18"/>
          <w:szCs w:val="18"/>
        </w:rPr>
      </w:pPr>
      <w:r w:rsidRPr="00A13038">
        <w:rPr>
          <w:rFonts w:ascii="Times New Roman" w:hAnsi="Times New Roman" w:cs="Times New Roman"/>
          <w:b/>
          <w:bCs/>
          <w:sz w:val="18"/>
          <w:szCs w:val="18"/>
        </w:rPr>
        <w:t>PLANTILLA PARA PROGRAMACIÓN  COMPETENCIAS CLAVE SECUNDARIA</w:t>
      </w:r>
    </w:p>
    <w:tbl>
      <w:tblPr>
        <w:tblStyle w:val="Tablaconcuadrcula"/>
        <w:tblW w:w="1459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61"/>
        <w:gridCol w:w="3147"/>
        <w:gridCol w:w="1688"/>
      </w:tblGrid>
      <w:tr w:rsidR="00B90E32" w:rsidRPr="00A13038">
        <w:tc>
          <w:tcPr>
            <w:tcW w:w="14596" w:type="dxa"/>
            <w:gridSpan w:val="3"/>
            <w:tcBorders>
              <w:top w:val="single" w:sz="16" w:space="0" w:color="00CCFF"/>
              <w:left w:val="single" w:sz="16" w:space="0" w:color="00CCFF"/>
              <w:bottom w:val="single" w:sz="16" w:space="0" w:color="00CCFF"/>
              <w:right w:val="single" w:sz="16" w:space="0" w:color="00CCFF"/>
            </w:tcBorders>
            <w:shd w:val="clear" w:color="auto" w:fill="auto"/>
            <w:tcMar>
              <w:left w:w="93" w:type="dxa"/>
            </w:tcMar>
          </w:tcPr>
          <w:p w:rsidR="00B90E32" w:rsidRPr="00A13038" w:rsidRDefault="00A13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0"/>
            <w:r w:rsidRPr="00A130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MATERIA: </w:t>
            </w:r>
            <w:r w:rsidR="000C7ADA" w:rsidRPr="00A13038">
              <w:rPr>
                <w:rFonts w:ascii="Times New Roman" w:hAnsi="Times New Roman" w:cs="Times New Roman"/>
                <w:b/>
                <w:sz w:val="18"/>
                <w:szCs w:val="18"/>
              </w:rPr>
              <w:t>CIENCIAS SOCIALES, GEOGRAFÑIA E HISTORIA.4ºESO</w:t>
            </w:r>
          </w:p>
          <w:p w:rsidR="00B90E32" w:rsidRPr="00A13038" w:rsidRDefault="00B90E3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0E32" w:rsidRPr="00A13038">
        <w:trPr>
          <w:trHeight w:val="1691"/>
        </w:trPr>
        <w:tc>
          <w:tcPr>
            <w:tcW w:w="14596" w:type="dxa"/>
            <w:gridSpan w:val="3"/>
            <w:tcBorders>
              <w:top w:val="nil"/>
              <w:left w:val="single" w:sz="16" w:space="0" w:color="00CCFF"/>
              <w:bottom w:val="single" w:sz="16" w:space="0" w:color="00CCFF"/>
              <w:right w:val="single" w:sz="16" w:space="0" w:color="00CCFF"/>
            </w:tcBorders>
            <w:shd w:val="clear" w:color="auto" w:fill="auto"/>
            <w:tcMar>
              <w:left w:w="93" w:type="dxa"/>
            </w:tcMar>
          </w:tcPr>
          <w:p w:rsidR="00B90E32" w:rsidRPr="00A13038" w:rsidRDefault="00A1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038">
              <w:rPr>
                <w:rFonts w:ascii="Times New Roman" w:hAnsi="Times New Roman" w:cs="Times New Roman"/>
                <w:b/>
                <w:sz w:val="18"/>
                <w:szCs w:val="18"/>
              </w:rPr>
              <w:t>OBJETIVOS DE LA MATERIA :</w:t>
            </w:r>
          </w:p>
          <w:p w:rsidR="00A13038" w:rsidRDefault="000C7ADA" w:rsidP="000C7ADA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>1.-Conceptualizar la sociedad como un sistema complejo analizando las interacciones entre los diversos ele</w:t>
            </w: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>mentos de la actividad humana (</w:t>
            </w: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>polític</w:t>
            </w: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>o, económico, social y cultural</w:t>
            </w: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>) valorando  a través del estudio de pr</w:t>
            </w: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>oblemáticas actuales relevantes</w:t>
            </w: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>, la naturaleza multifactorial de los hechos históricos y como estos contribuyen a la creación de las identidades colectivas e individuales y al rol que desempeñan en ellas hombres y mujeres.</w:t>
            </w:r>
            <w:r w:rsidR="00A130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0C7ADA" w:rsidRPr="00A13038" w:rsidRDefault="000C7ADA" w:rsidP="000C7ADA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>4.- Comprender la diversidad geográfica y geoeconómica del mundo, España, Europa y Andalucía por medio del análisis,</w:t>
            </w: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>identificación y localización de sus recursos básicos así  como de las características más destacadas de su entorno físico y humano</w:t>
            </w: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0E32" w:rsidRPr="00A13038" w:rsidRDefault="000C7ADA" w:rsidP="000C7ADA">
            <w:pPr>
              <w:pStyle w:val="Standard"/>
              <w:jc w:val="both"/>
              <w:rPr>
                <w:rFonts w:ascii="Times New Roman" w:eastAsia="NewsGotT" w:hAnsi="Times New Roman" w:cs="Times New Roman"/>
                <w:sz w:val="18"/>
                <w:szCs w:val="18"/>
              </w:rPr>
            </w:pP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>9.- Explica los principios, instituciones y formas de gobierno por las que se rige un Estado democrático, analizando la organización territorial y política de Andalucía, España y la Unión Europea, los requi</w:t>
            </w: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>sitos para una buena gobernanza</w:t>
            </w: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>los cauces de participación ciudadana.</w:t>
            </w:r>
          </w:p>
        </w:tc>
      </w:tr>
      <w:bookmarkEnd w:id="0"/>
      <w:tr w:rsidR="00B90E32" w:rsidRPr="00A13038">
        <w:tc>
          <w:tcPr>
            <w:tcW w:w="14596" w:type="dxa"/>
            <w:gridSpan w:val="3"/>
            <w:tcBorders>
              <w:top w:val="nil"/>
              <w:left w:val="single" w:sz="16" w:space="0" w:color="00CCFF"/>
              <w:bottom w:val="single" w:sz="16" w:space="0" w:color="00CCFF"/>
              <w:right w:val="single" w:sz="16" w:space="0" w:color="00CCFF"/>
            </w:tcBorders>
            <w:shd w:val="clear" w:color="auto" w:fill="auto"/>
            <w:tcMar>
              <w:left w:w="93" w:type="dxa"/>
            </w:tcMar>
          </w:tcPr>
          <w:p w:rsidR="00B90E32" w:rsidRPr="00A13038" w:rsidRDefault="000C7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3038">
              <w:rPr>
                <w:rFonts w:ascii="Times New Roman" w:hAnsi="Times New Roman" w:cs="Times New Roman"/>
                <w:b/>
                <w:sz w:val="18"/>
                <w:szCs w:val="18"/>
              </w:rPr>
              <w:t>BLOQUE : 7</w:t>
            </w:r>
          </w:p>
        </w:tc>
      </w:tr>
      <w:tr w:rsidR="00B90E32" w:rsidRPr="00A13038" w:rsidTr="00A13038">
        <w:trPr>
          <w:trHeight w:val="375"/>
        </w:trPr>
        <w:tc>
          <w:tcPr>
            <w:tcW w:w="9761" w:type="dxa"/>
            <w:tcBorders>
              <w:top w:val="nil"/>
              <w:left w:val="single" w:sz="16" w:space="0" w:color="00CCFF"/>
              <w:bottom w:val="single" w:sz="16" w:space="0" w:color="00CCFF"/>
              <w:right w:val="nil"/>
            </w:tcBorders>
            <w:shd w:val="clear" w:color="auto" w:fill="auto"/>
            <w:tcMar>
              <w:left w:w="93" w:type="dxa"/>
            </w:tcMar>
          </w:tcPr>
          <w:p w:rsidR="00B90E32" w:rsidRPr="00A13038" w:rsidRDefault="00A130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0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C.E (C.C)  Y ESTÁNDARES ASOCIADOS </w:t>
            </w:r>
          </w:p>
        </w:tc>
        <w:tc>
          <w:tcPr>
            <w:tcW w:w="3147" w:type="dxa"/>
            <w:tcBorders>
              <w:top w:val="nil"/>
              <w:left w:val="single" w:sz="16" w:space="0" w:color="00CCFF"/>
              <w:bottom w:val="single" w:sz="16" w:space="0" w:color="00CCFF"/>
              <w:right w:val="nil"/>
            </w:tcBorders>
            <w:shd w:val="clear" w:color="auto" w:fill="auto"/>
            <w:tcMar>
              <w:left w:w="93" w:type="dxa"/>
            </w:tcMar>
          </w:tcPr>
          <w:p w:rsidR="00B90E32" w:rsidRPr="00A13038" w:rsidRDefault="00A130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038">
              <w:rPr>
                <w:rFonts w:ascii="Times New Roman" w:hAnsi="Times New Roman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688" w:type="dxa"/>
            <w:tcBorders>
              <w:top w:val="nil"/>
              <w:left w:val="single" w:sz="16" w:space="0" w:color="00CCFF"/>
              <w:bottom w:val="single" w:sz="16" w:space="0" w:color="00CCFF"/>
              <w:right w:val="single" w:sz="16" w:space="0" w:color="00CCFF"/>
            </w:tcBorders>
            <w:shd w:val="clear" w:color="auto" w:fill="auto"/>
            <w:tcMar>
              <w:left w:w="93" w:type="dxa"/>
            </w:tcMar>
          </w:tcPr>
          <w:p w:rsidR="00B90E32" w:rsidRPr="00A13038" w:rsidRDefault="00A130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038">
              <w:rPr>
                <w:rFonts w:ascii="Times New Roman" w:hAnsi="Times New Roman" w:cs="Times New Roman"/>
                <w:b/>
                <w:sz w:val="18"/>
                <w:szCs w:val="18"/>
              </w:rPr>
              <w:t>U.D/TRIMESTRE</w:t>
            </w:r>
          </w:p>
        </w:tc>
      </w:tr>
      <w:tr w:rsidR="00B90E32" w:rsidRPr="00A13038" w:rsidTr="00A13038">
        <w:trPr>
          <w:trHeight w:val="4042"/>
        </w:trPr>
        <w:tc>
          <w:tcPr>
            <w:tcW w:w="9761" w:type="dxa"/>
            <w:tcBorders>
              <w:top w:val="nil"/>
              <w:left w:val="single" w:sz="16" w:space="0" w:color="00CCFF"/>
              <w:bottom w:val="single" w:sz="16" w:space="0" w:color="00CCFF"/>
              <w:right w:val="nil"/>
            </w:tcBorders>
            <w:shd w:val="clear" w:color="auto" w:fill="auto"/>
            <w:tcMar>
              <w:left w:w="93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51"/>
              <w:gridCol w:w="5529"/>
            </w:tblGrid>
            <w:tr w:rsidR="000C7ADA" w:rsidRPr="00A13038" w:rsidTr="00A13038">
              <w:trPr>
                <w:trHeight w:val="70"/>
              </w:trPr>
              <w:tc>
                <w:tcPr>
                  <w:tcW w:w="3851" w:type="dxa"/>
                </w:tcPr>
                <w:p w:rsidR="000C7ADA" w:rsidRPr="00A13038" w:rsidRDefault="000C7ADA" w:rsidP="000C7ADA">
                  <w:pPr>
                    <w:pStyle w:val="NormalWeb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A13038">
                    <w:rPr>
                      <w:b/>
                      <w:sz w:val="20"/>
                      <w:szCs w:val="20"/>
                    </w:rPr>
                    <w:t>Criterios de evaluación</w:t>
                  </w:r>
                </w:p>
              </w:tc>
              <w:tc>
                <w:tcPr>
                  <w:tcW w:w="5529" w:type="dxa"/>
                </w:tcPr>
                <w:p w:rsidR="000C7ADA" w:rsidRPr="00A13038" w:rsidRDefault="000C7ADA" w:rsidP="00A13038">
                  <w:pPr>
                    <w:pStyle w:val="NormalWeb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A13038">
                    <w:rPr>
                      <w:b/>
                      <w:sz w:val="20"/>
                      <w:szCs w:val="20"/>
                    </w:rPr>
                    <w:t>Estándares de aprendizaje evaluables</w:t>
                  </w:r>
                </w:p>
              </w:tc>
            </w:tr>
            <w:tr w:rsidR="000C7ADA" w:rsidRPr="00A13038" w:rsidTr="00A13038">
              <w:trPr>
                <w:trHeight w:val="1076"/>
              </w:trPr>
              <w:tc>
                <w:tcPr>
                  <w:tcW w:w="3851" w:type="dxa"/>
                </w:tcPr>
                <w:p w:rsidR="000C7ADA" w:rsidRPr="00A13038" w:rsidRDefault="000C7ADA" w:rsidP="000C7ADA">
                  <w:pPr>
                    <w:pStyle w:val="NormalWeb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A13038">
                    <w:rPr>
                      <w:sz w:val="20"/>
                      <w:szCs w:val="20"/>
                    </w:rPr>
                    <w:t>1.- Entender los avances económicos de los regímenes soviéticos y los peligros de su aislamiento interno y los avances económicos del “</w:t>
                  </w:r>
                  <w:proofErr w:type="spellStart"/>
                  <w:r w:rsidRPr="00A13038">
                    <w:rPr>
                      <w:sz w:val="20"/>
                      <w:szCs w:val="20"/>
                    </w:rPr>
                    <w:t>Welfare</w:t>
                  </w:r>
                  <w:proofErr w:type="spellEnd"/>
                  <w:r w:rsidRPr="00A1303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3038">
                    <w:rPr>
                      <w:sz w:val="20"/>
                      <w:szCs w:val="20"/>
                    </w:rPr>
                    <w:t>State</w:t>
                  </w:r>
                  <w:proofErr w:type="spellEnd"/>
                  <w:r w:rsidRPr="00A13038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13038">
                    <w:rPr>
                      <w:sz w:val="20"/>
                      <w:szCs w:val="20"/>
                    </w:rPr>
                    <w:t>“ en</w:t>
                  </w:r>
                  <w:proofErr w:type="gramEnd"/>
                  <w:r w:rsidRPr="00A13038">
                    <w:rPr>
                      <w:sz w:val="20"/>
                      <w:szCs w:val="20"/>
                    </w:rPr>
                    <w:t xml:space="preserve"> Europa: </w:t>
                  </w:r>
                  <w:r w:rsidR="00A13038" w:rsidRPr="00A13038">
                    <w:rPr>
                      <w:sz w:val="20"/>
                      <w:szCs w:val="20"/>
                    </w:rPr>
                    <w:t>CSC,CCL,SIEP.</w:t>
                  </w:r>
                </w:p>
              </w:tc>
              <w:tc>
                <w:tcPr>
                  <w:tcW w:w="5529" w:type="dxa"/>
                </w:tcPr>
                <w:p w:rsidR="000C7ADA" w:rsidRPr="00A13038" w:rsidRDefault="000C7ADA" w:rsidP="000C7ADA">
                  <w:pPr>
                    <w:pStyle w:val="NormalWeb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A13038">
                    <w:rPr>
                      <w:sz w:val="20"/>
                      <w:szCs w:val="20"/>
                    </w:rPr>
                    <w:t xml:space="preserve">1.1. Utilizando fuentes históricas e historiográficas, explica algunos de los conflictos enmarcados en la época de la guerra fría. </w:t>
                  </w:r>
                  <w:r w:rsidR="00A13038" w:rsidRPr="00A13038">
                    <w:rPr>
                      <w:sz w:val="20"/>
                      <w:szCs w:val="20"/>
                    </w:rPr>
                    <w:t xml:space="preserve">                                                  </w:t>
                  </w:r>
                  <w:r w:rsidRPr="00A13038">
                    <w:rPr>
                      <w:sz w:val="20"/>
                      <w:szCs w:val="20"/>
                    </w:rPr>
                    <w:t>1.2. Explica los avances del “</w:t>
                  </w:r>
                  <w:proofErr w:type="spellStart"/>
                  <w:r w:rsidRPr="00A13038">
                    <w:rPr>
                      <w:sz w:val="20"/>
                      <w:szCs w:val="20"/>
                    </w:rPr>
                    <w:t>Welfare</w:t>
                  </w:r>
                  <w:proofErr w:type="spellEnd"/>
                  <w:r w:rsidRPr="00A1303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3038">
                    <w:rPr>
                      <w:sz w:val="20"/>
                      <w:szCs w:val="20"/>
                    </w:rPr>
                    <w:t>State</w:t>
                  </w:r>
                  <w:proofErr w:type="spellEnd"/>
                  <w:r w:rsidRPr="00A13038">
                    <w:rPr>
                      <w:sz w:val="20"/>
                      <w:szCs w:val="20"/>
                    </w:rPr>
                    <w:t>” en Europa.</w:t>
                  </w:r>
                  <w:r w:rsidR="00A13038" w:rsidRPr="00A13038">
                    <w:rPr>
                      <w:sz w:val="20"/>
                      <w:szCs w:val="20"/>
                    </w:rPr>
                    <w:t xml:space="preserve">                                              </w:t>
                  </w:r>
                  <w:r w:rsidRPr="00A13038">
                    <w:rPr>
                      <w:sz w:val="20"/>
                      <w:szCs w:val="20"/>
                    </w:rPr>
                    <w:t>1.3. Reconoce los cambios sociales derivados de la incorporación de la mujer al trabajo asalariado</w:t>
                  </w:r>
                  <w:r w:rsidR="00A13038" w:rsidRPr="00A13038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C7ADA" w:rsidRPr="00A13038" w:rsidTr="00A13038">
              <w:tc>
                <w:tcPr>
                  <w:tcW w:w="3851" w:type="dxa"/>
                </w:tcPr>
                <w:p w:rsidR="000C7ADA" w:rsidRPr="00A13038" w:rsidRDefault="000C7ADA" w:rsidP="000C7ADA">
                  <w:pPr>
                    <w:pStyle w:val="NormalWeb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A13038">
                    <w:rPr>
                      <w:sz w:val="20"/>
                      <w:szCs w:val="20"/>
                    </w:rPr>
                    <w:t xml:space="preserve">2.- Comprender el concepto de “guerra fría” en el contexto de después de 1945 y las relaciones entre los dos </w:t>
                  </w:r>
                  <w:proofErr w:type="gramStart"/>
                  <w:r w:rsidRPr="00A13038">
                    <w:rPr>
                      <w:sz w:val="20"/>
                      <w:szCs w:val="20"/>
                    </w:rPr>
                    <w:t>bloques :</w:t>
                  </w:r>
                  <w:proofErr w:type="gramEnd"/>
                  <w:r w:rsidRPr="00A13038">
                    <w:rPr>
                      <w:sz w:val="20"/>
                      <w:szCs w:val="20"/>
                    </w:rPr>
                    <w:t xml:space="preserve"> USA y URSS: CSC, CCL.</w:t>
                  </w:r>
                </w:p>
              </w:tc>
              <w:tc>
                <w:tcPr>
                  <w:tcW w:w="5529" w:type="dxa"/>
                </w:tcPr>
                <w:p w:rsidR="000C7ADA" w:rsidRPr="00A13038" w:rsidRDefault="000C7ADA" w:rsidP="000C7ADA">
                  <w:pPr>
                    <w:pStyle w:val="NormalWeb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A13038">
                    <w:rPr>
                      <w:sz w:val="20"/>
                      <w:szCs w:val="20"/>
                    </w:rPr>
                    <w:t>2.1. Describe las consecuencias de la guerra del Vietnam. 2.2. Conoce la situación de la postguerra y la represión en España y las distintas fases de la dictadura de Franco</w:t>
                  </w:r>
                </w:p>
              </w:tc>
            </w:tr>
            <w:tr w:rsidR="000C7ADA" w:rsidRPr="00A13038" w:rsidTr="00A13038">
              <w:trPr>
                <w:trHeight w:val="983"/>
              </w:trPr>
              <w:tc>
                <w:tcPr>
                  <w:tcW w:w="3851" w:type="dxa"/>
                </w:tcPr>
                <w:p w:rsidR="000C7ADA" w:rsidRPr="00A13038" w:rsidRDefault="000C7ADA" w:rsidP="000C7ADA">
                  <w:pPr>
                    <w:pStyle w:val="NormalWeb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A13038">
                    <w:rPr>
                      <w:sz w:val="20"/>
                      <w:szCs w:val="20"/>
                    </w:rPr>
                    <w:t xml:space="preserve">3.- Explicar las causas de que se estableciera una dictadura en </w:t>
                  </w:r>
                  <w:proofErr w:type="gramStart"/>
                  <w:r w:rsidRPr="00A13038">
                    <w:rPr>
                      <w:sz w:val="20"/>
                      <w:szCs w:val="20"/>
                    </w:rPr>
                    <w:t>España ,tras</w:t>
                  </w:r>
                  <w:proofErr w:type="gramEnd"/>
                  <w:r w:rsidRPr="00A13038">
                    <w:rPr>
                      <w:sz w:val="20"/>
                      <w:szCs w:val="20"/>
                    </w:rPr>
                    <w:t xml:space="preserve"> la guerra civil, y cómo fue evolucionando esa dictadura desde1939 a 1975:           CSC, CCL.</w:t>
                  </w:r>
                </w:p>
              </w:tc>
              <w:tc>
                <w:tcPr>
                  <w:tcW w:w="5529" w:type="dxa"/>
                </w:tcPr>
                <w:p w:rsidR="000C7ADA" w:rsidRPr="00A13038" w:rsidRDefault="000C7ADA" w:rsidP="000C7ADA">
                  <w:pPr>
                    <w:pStyle w:val="NormalWeb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A13038">
                    <w:rPr>
                      <w:sz w:val="20"/>
                      <w:szCs w:val="20"/>
                    </w:rPr>
                    <w:t>3.1. Discute cómo se entiende en España y en Europa el concepto de memoria histórica.</w:t>
                  </w:r>
                </w:p>
              </w:tc>
            </w:tr>
            <w:tr w:rsidR="000C7ADA" w:rsidRPr="00A13038" w:rsidTr="00A13038">
              <w:tc>
                <w:tcPr>
                  <w:tcW w:w="3851" w:type="dxa"/>
                </w:tcPr>
                <w:p w:rsidR="000C7ADA" w:rsidRPr="00A13038" w:rsidRDefault="000C7ADA" w:rsidP="000C7ADA">
                  <w:pPr>
                    <w:pStyle w:val="NormalWeb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A13038">
                    <w:rPr>
                      <w:sz w:val="20"/>
                      <w:szCs w:val="20"/>
                    </w:rPr>
                    <w:t>4.- Comprender el concepto de crisis económica y su repercusión mundial en un caso concreto: CSC</w:t>
                  </w:r>
                  <w:proofErr w:type="gramStart"/>
                  <w:r w:rsidRPr="00A13038">
                    <w:rPr>
                      <w:sz w:val="20"/>
                      <w:szCs w:val="20"/>
                    </w:rPr>
                    <w:t>,CCL,SIEP</w:t>
                  </w:r>
                  <w:proofErr w:type="gramEnd"/>
                  <w:r w:rsidRPr="00A1303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29" w:type="dxa"/>
                </w:tcPr>
                <w:p w:rsidR="000C7ADA" w:rsidRPr="00A13038" w:rsidRDefault="000C7ADA" w:rsidP="000C7ADA">
                  <w:pPr>
                    <w:pStyle w:val="NormalWeb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A13038">
                    <w:rPr>
                      <w:sz w:val="20"/>
                      <w:szCs w:val="20"/>
                    </w:rPr>
                    <w:t>4.1. Compara la crisis energética de 1973 con la financiera de 2008.</w:t>
                  </w:r>
                </w:p>
              </w:tc>
            </w:tr>
          </w:tbl>
          <w:p w:rsidR="00B90E32" w:rsidRPr="00A13038" w:rsidRDefault="00B90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nil"/>
              <w:left w:val="single" w:sz="16" w:space="0" w:color="00CCFF"/>
              <w:bottom w:val="single" w:sz="16" w:space="0" w:color="00CCFF"/>
              <w:right w:val="nil"/>
            </w:tcBorders>
            <w:shd w:val="clear" w:color="auto" w:fill="auto"/>
            <w:tcMar>
              <w:left w:w="93" w:type="dxa"/>
            </w:tcMar>
          </w:tcPr>
          <w:p w:rsidR="000C7ADA" w:rsidRPr="00A13038" w:rsidRDefault="000C7ADA" w:rsidP="000C7ADA">
            <w:pPr>
              <w:pStyle w:val="NormalWeb"/>
              <w:spacing w:after="0"/>
              <w:jc w:val="both"/>
              <w:rPr>
                <w:sz w:val="18"/>
                <w:szCs w:val="18"/>
              </w:rPr>
            </w:pPr>
            <w:r w:rsidRPr="00A13038">
              <w:rPr>
                <w:sz w:val="18"/>
                <w:szCs w:val="18"/>
              </w:rPr>
              <w:t>La estabilización del capitalismo y el aislamiento económico del Bloque Soviético. Evolución de la URSS y sus aliados .Evolución de Estados Unidos y sus aliados ; el “</w:t>
            </w:r>
            <w:proofErr w:type="spellStart"/>
            <w:r w:rsidRPr="00A13038">
              <w:rPr>
                <w:sz w:val="18"/>
                <w:szCs w:val="18"/>
              </w:rPr>
              <w:t>Welfare</w:t>
            </w:r>
            <w:proofErr w:type="spellEnd"/>
            <w:r w:rsidRPr="00A13038">
              <w:rPr>
                <w:sz w:val="18"/>
                <w:szCs w:val="18"/>
              </w:rPr>
              <w:t xml:space="preserve"> </w:t>
            </w:r>
            <w:proofErr w:type="spellStart"/>
            <w:r w:rsidRPr="00A13038">
              <w:rPr>
                <w:sz w:val="18"/>
                <w:szCs w:val="18"/>
              </w:rPr>
              <w:t>State</w:t>
            </w:r>
            <w:proofErr w:type="spellEnd"/>
            <w:r w:rsidRPr="00A13038">
              <w:rPr>
                <w:sz w:val="18"/>
                <w:szCs w:val="18"/>
              </w:rPr>
              <w:t xml:space="preserve"> “ en Europa .La dictadura de Franco en España :La crisis del petróleo (1973)</w:t>
            </w:r>
          </w:p>
          <w:p w:rsidR="00B90E32" w:rsidRPr="00A13038" w:rsidRDefault="00B90E32">
            <w:pPr>
              <w:pStyle w:val="Prrafodelista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688" w:type="dxa"/>
            <w:tcBorders>
              <w:top w:val="nil"/>
              <w:left w:val="single" w:sz="16" w:space="0" w:color="00CCFF"/>
              <w:bottom w:val="single" w:sz="16" w:space="0" w:color="00CCFF"/>
              <w:right w:val="single" w:sz="16" w:space="0" w:color="00CCFF"/>
            </w:tcBorders>
            <w:shd w:val="clear" w:color="auto" w:fill="auto"/>
            <w:tcMar>
              <w:left w:w="93" w:type="dxa"/>
            </w:tcMar>
          </w:tcPr>
          <w:p w:rsidR="00B90E32" w:rsidRPr="00A13038" w:rsidRDefault="00A13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3038">
              <w:rPr>
                <w:rFonts w:ascii="Times New Roman" w:hAnsi="Times New Roman" w:cs="Times New Roman"/>
                <w:sz w:val="18"/>
                <w:szCs w:val="18"/>
              </w:rPr>
              <w:t>3ª Evaluación</w:t>
            </w:r>
          </w:p>
        </w:tc>
      </w:tr>
      <w:tr w:rsidR="00B90E32" w:rsidRPr="00A13038">
        <w:trPr>
          <w:trHeight w:val="585"/>
        </w:trPr>
        <w:tc>
          <w:tcPr>
            <w:tcW w:w="14596" w:type="dxa"/>
            <w:gridSpan w:val="3"/>
            <w:tcBorders>
              <w:top w:val="nil"/>
              <w:left w:val="single" w:sz="16" w:space="0" w:color="00CCFF"/>
              <w:bottom w:val="single" w:sz="16" w:space="0" w:color="00CCFF"/>
              <w:right w:val="single" w:sz="16" w:space="0" w:color="00CCFF"/>
            </w:tcBorders>
            <w:shd w:val="clear" w:color="auto" w:fill="auto"/>
            <w:tcMar>
              <w:left w:w="93" w:type="dxa"/>
            </w:tcMar>
          </w:tcPr>
          <w:p w:rsidR="00B90E32" w:rsidRPr="00A13038" w:rsidRDefault="00A13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03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ORIENTACIONES METODOLÓGICAS </w:t>
            </w:r>
          </w:p>
          <w:p w:rsidR="00B90E32" w:rsidRPr="00A13038" w:rsidRDefault="00B90E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0E32" w:rsidRDefault="00B90E32"/>
    <w:sectPr w:rsidR="00B90E32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DA" w:rsidRDefault="000C7ADA" w:rsidP="000C7ADA">
      <w:pPr>
        <w:spacing w:after="0" w:line="240" w:lineRule="auto"/>
      </w:pPr>
      <w:r>
        <w:separator/>
      </w:r>
    </w:p>
  </w:endnote>
  <w:endnote w:type="continuationSeparator" w:id="0">
    <w:p w:rsidR="000C7ADA" w:rsidRDefault="000C7ADA" w:rsidP="000C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sGo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DA" w:rsidRDefault="000C7ADA" w:rsidP="000C7ADA">
      <w:pPr>
        <w:spacing w:after="0" w:line="240" w:lineRule="auto"/>
      </w:pPr>
      <w:r>
        <w:separator/>
      </w:r>
    </w:p>
  </w:footnote>
  <w:footnote w:type="continuationSeparator" w:id="0">
    <w:p w:rsidR="000C7ADA" w:rsidRDefault="000C7ADA" w:rsidP="000C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8273F"/>
    <w:multiLevelType w:val="multilevel"/>
    <w:tmpl w:val="AEFA3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3D9F"/>
    <w:multiLevelType w:val="multilevel"/>
    <w:tmpl w:val="901E3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3861069"/>
    <w:multiLevelType w:val="multilevel"/>
    <w:tmpl w:val="99EEA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32"/>
    <w:rsid w:val="000C7ADA"/>
    <w:rsid w:val="00A13038"/>
    <w:rsid w:val="00B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EB65E-4871-46DA-A9EE-02C25CB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133A5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4331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7A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Standard">
    <w:name w:val="Standard"/>
    <w:rsid w:val="000C7AD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0C7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ADA"/>
  </w:style>
  <w:style w:type="paragraph" w:styleId="Piedepgina">
    <w:name w:val="footer"/>
    <w:basedOn w:val="Normal"/>
    <w:link w:val="PiedepginaCar"/>
    <w:uiPriority w:val="99"/>
    <w:unhideWhenUsed/>
    <w:rsid w:val="000C7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E442-6FAC-42E0-9AC2-4DB3E35C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usuario</cp:lastModifiedBy>
  <cp:revision>5</cp:revision>
  <dcterms:created xsi:type="dcterms:W3CDTF">2017-11-21T10:42:00Z</dcterms:created>
  <dcterms:modified xsi:type="dcterms:W3CDTF">2018-01-25T11:42:00Z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