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FF0000"/>
          <w:sz w:val="28"/>
          <w:szCs w:val="28"/>
        </w:rPr>
        <w:t>PRÁCTICA DE EVALUACIÓN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EN EL TERCER  CICLO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MATEMÁTICAS 6º.  PERÍMETROS Y ÁREAS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Para realizar la práctica de esta unidad hemos tenido en cuenta los siguientes elementos de la UDI.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aconcuadrcula"/>
        <w:tblW w:w="14567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039"/>
        <w:gridCol w:w="12527"/>
      </w:tblGrid>
      <w:tr>
        <w:trPr/>
        <w:tc>
          <w:tcPr>
            <w:tcW w:w="203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CONTENIDOS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 LA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UNIDAD</w:t>
            </w:r>
          </w:p>
        </w:tc>
        <w:tc>
          <w:tcPr>
            <w:tcW w:w="1252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Estrategias heurísticas: aproximar mediante ensayo-error, estimar el resultado, reformular el problema, utilizar tablas, relacionar con problemas afines, realizar esquemas y gráficos, empezar por el final.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Planteamiento de pequeñas investigaciones en contextos numéricos, geométricos y funcionales, valorando su utilidad en las predicciones.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Reflexión sobre procesos, decisiones y resultados, capacidad de poner en práctica lo aprendido en situaciones similares, confianza en las propias capacidades para afrontar las dificultades y superar bloqueos e inseguridades.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Comparación de superficies de figuras planas por superposición, descomposición y medición.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498" w:leader="none"/>
              </w:tabs>
              <w:spacing w:lineRule="exact" w:line="260" w:before="0" w:after="106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Sumar y restar medidas de longitud, capacidad, masa, superficie y volumen.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La situación en el plano y en el espacio.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Posiciones relativas de rectas y circunferencias.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Sistema de coordenadas cartesianas.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Descripción de posiciones y movimientos por medio de coordenadas, distancias, ángulos, giros…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Figuras planas: elementos, relaciones y clasificación.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Identificación y denominación de polígonos atendiendo al número de lados.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Perímetro y área. Cálculo de perímetros y áreas.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La circunferencia y el círculo.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Elementos básicos: centro, radio, diámetro, cuerda, arco, tangente y sector circular.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Formación de figuras planas y cuerpos geométricos a partir de otras por composición y descomposición.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Utilización de instrumentos de dibujo para la construcción y exploración de formas geométricas.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Interés por la precisión en la descripción y representación de formas geométricas.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ListParagraph"/>
              <w:tabs>
                <w:tab w:val="left" w:pos="8498" w:leader="none"/>
              </w:tabs>
              <w:spacing w:lineRule="exact" w:line="260" w:before="0" w:after="106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Interés por la presentación clara y ordenada de los trabajos geométricos.</w:t>
            </w:r>
          </w:p>
        </w:tc>
      </w:tr>
      <w:tr>
        <w:trPr/>
        <w:tc>
          <w:tcPr>
            <w:tcW w:w="203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INDICADORES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DE LA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UNIDAD</w:t>
            </w:r>
          </w:p>
        </w:tc>
        <w:tc>
          <w:tcPr>
            <w:tcW w:w="1252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19"/>
                <w:szCs w:val="19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MAT.3.1.2. Valora las diferentes estrategias y persevera en la búsqueda de datos y soluciones precisas, tanto en la formulación como en la resolución de un problema.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MAT.3.1.3. Expresa de forma ordenada y clara, oralmente y por escrito, el proceso seguido en la resolución de problemas.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 desarrollado.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MAT.3.3.1. Desarrolla actitudes personales inherentes al quehacer matemático, planteando la resolución de retos y problemas con precisión, esmero e interés.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MAT.3.3.2. Reflexiona sobre los procesos, decisiones tomadas y resultados obtenidos, transfiriendo lo aprendiendo a situaciones similares futuras, superando los bloqueos e inseguridades ante la resolución de situaciones desconocidas.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MAT.3.5.1. Realiza cálculos mentales con las cuatro operaciones utilizando diferentes estrategias personales y académicas, teniendo en cuenta la jerarquía de las operaciones.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MAT.3.8.1. Opera con diferentes medidas en situaciones del contexto real.</w:t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  <w:p>
            <w:pPr>
              <w:pStyle w:val="Normal"/>
              <w:rPr>
                <w:rFonts w:ascii="Verdana" w:hAnsi="Verdana" w:eastAsia="Verdana" w:cs="Verdana"/>
                <w:spacing w:val="31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pacing w:val="31"/>
                <w:sz w:val="17"/>
                <w:szCs w:val="17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MAT.3.11.1. Conoce y describe las figuras planas: cuadrado, rectángulo, romboide, triángulo, trapecio, rombo y círculo relacionándolas con elementos del contexto real.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MAT.3.13.1. Comprende el método de cálculo del perímetro y el área de paralelogramos, triángulos, trapecios y rombos.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eastAsia="Calibri" w:cs="Arial"/>
                <w:sz w:val="19"/>
                <w:szCs w:val="19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MAT.3.13.2. Calcula el perímetro y el área de paralelogramos, triángulos, trapecios y rombos en situaciones de la vida cotidiana.</w:t>
            </w:r>
          </w:p>
        </w:tc>
      </w:tr>
    </w:tbl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p>
      <w:pPr>
        <w:pStyle w:val="Lista"/>
        <w:spacing w:lineRule="exact" w:line="260" w:before="0" w:after="106"/>
        <w:jc w:val="left"/>
        <w:rPr>
          <w:rFonts w:cs="Arial"/>
          <w:b/>
          <w:b/>
          <w:sz w:val="19"/>
          <w:szCs w:val="19"/>
        </w:rPr>
      </w:pPr>
      <w:r>
        <w:rPr>
          <w:rFonts w:cs="Arial"/>
          <w:b/>
          <w:sz w:val="19"/>
          <w:szCs w:val="19"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2528"/>
        <w:gridCol w:w="1814"/>
        <w:gridCol w:w="2595"/>
        <w:gridCol w:w="2596"/>
        <w:gridCol w:w="2596"/>
        <w:gridCol w:w="2594"/>
      </w:tblGrid>
      <w:tr>
        <w:trPr/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i/>
                <w:i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sz w:val="19"/>
                <w:szCs w:val="19"/>
              </w:rPr>
            </w:r>
          </w:p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i/>
                <w:sz w:val="19"/>
                <w:szCs w:val="19"/>
              </w:rPr>
              <w:t>Indicadores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Instrumento de evaluación</w:t>
            </w:r>
          </w:p>
        </w:tc>
        <w:tc>
          <w:tcPr>
            <w:tcW w:w="10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  <w:t>Niveles de adquisición</w:t>
            </w:r>
          </w:p>
        </w:tc>
      </w:tr>
      <w:tr>
        <w:trPr>
          <w:trHeight w:val="668" w:hRule="atLeast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exact" w:line="260" w:before="0" w:after="106"/>
              <w:jc w:val="center"/>
              <w:rPr>
                <w:rFonts w:ascii="Arial" w:hAnsi="Arial" w:cs="Arial"/>
                <w:b/>
                <w:b/>
                <w:sz w:val="19"/>
                <w:szCs w:val="19"/>
              </w:rPr>
            </w:pPr>
            <w:r>
              <w:rPr>
                <w:rFonts w:cs="Arial" w:ascii="Arial" w:hAnsi="Arial"/>
                <w:b/>
                <w:sz w:val="19"/>
                <w:szCs w:val="19"/>
              </w:rPr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En vías de adquisición 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(1, 2, 3, 4)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Adquirido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(5, 6)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Avanzado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(7, 8)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Excelente</w:t>
            </w:r>
          </w:p>
          <w:p>
            <w:pPr>
              <w:pStyle w:val="Normal"/>
              <w:spacing w:lineRule="exact" w:line="2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(9, 10)</w:t>
            </w:r>
          </w:p>
        </w:tc>
      </w:tr>
      <w:tr>
        <w:trPr>
          <w:trHeight w:val="2194" w:hRule="atLeast"/>
        </w:trPr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 xml:space="preserve">MAT.3.1.1. En un contexto de resolución de problemas sencillos, anticipa una solución razonable y busca los procedimientos matemáticos adecuados para abordar el proceso de resolución.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resolución de problemas, cuaderno, prueba.</w:t>
            </w:r>
          </w:p>
          <w:p>
            <w:pPr>
              <w:pStyle w:val="Normal"/>
              <w:spacing w:lineRule="exact" w:line="260"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comprensiva solo en ocasiones, necesitando apoyo de lápiz y papel para calcular el resultado de la operación por estimación, en ausencia de procesos mentales.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compresiva, necesitando apoyo de lápiz y papel para calcular el resultado de la operación por estimación, utilizando ocasionalmente el cálculo mental.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Utiliza el cálculo aproximado de manera compresiva, necesitando ocasionalmente apoyo de lápiz y papel para calcular el resultado de la operación por estimación de forma mental.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el cálculo aproximado de manera comprensiva para calcular el resultado de la operación por estimación de forma mental </w:t>
            </w:r>
          </w:p>
        </w:tc>
      </w:tr>
      <w:tr>
        <w:trPr>
          <w:trHeight w:val="1391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MAT.3.1.3. Expresa de forma ordenada y clara, oralmente y por escrito, el proceso seguido en la resolución de problemas.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resolución de problemas,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lineRule="exact" w:line="260" w:before="120" w:after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 verbalización sobre la situación problemática planteada es inexistente o incorrecta.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Lee el problema comprendiéndolo sin dificultad, distinguiendo lo que conocemos de lo que buscamos, realizando un esquema o representación gráfica para organizar la información, expresándolo con sus propias palabras</w:t>
            </w:r>
          </w:p>
        </w:tc>
      </w:tr>
      <w:tr>
        <w:trPr>
          <w:trHeight w:val="3466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MAT.3.2.1. Resuelve y formula investigaciones matemáticas y proyectos de trabajos referidos a números, cálculos, medidas, geometría y tratamiento de la información aplicando el método científico, utilizando diferentes estrategias, colaborando activamente en equipo y comunicando oralmente y por escrito el proceso.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-Rúbricas: cooperación, prueba, cuaderno, expresión oral, búsqueda y tratamiento de la información.</w:t>
            </w:r>
          </w:p>
          <w:p>
            <w:pPr>
              <w:pStyle w:val="Normal"/>
              <w:spacing w:lineRule="exact" w:line="260" w:before="120" w:after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 la primera estrategia que viene a su mente sin analizarla o no es capaz de generar posibles estrategias para la resolución. El desarrollo de la estrategia es incorrecto y no repara en ello.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alguna estrategia aprendida y ha cometido errores de cálculo o uso de datos. 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Utiliza las estrategias trabajadas en clase pero muestra dificultad en hacerlas propias.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 estrategias para la resolución del problema utilizando las trabajadas en clase sin necesidad de guía y busca todos los casos posibles, analiza la situación en un contexto más sencillo, realizando preguntas intermedias…</w:t>
            </w:r>
          </w:p>
        </w:tc>
      </w:tr>
      <w:tr>
        <w:trPr>
          <w:trHeight w:val="422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MAT.3.8.1. Opera con diferentes medidas en situaciones del contexto real.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Re</w:t>
            </w:r>
            <w:r>
              <w:rPr>
                <w:rFonts w:cs="Arial" w:ascii="Arial" w:hAnsi="Arial"/>
                <w:sz w:val="20"/>
                <w:szCs w:val="20"/>
              </w:rPr>
              <w:t xml:space="preserve">aliza algunos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dificultades, requiriendo ayuda siempre para lograr un resultado acertado.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pero con dificultades, logrando acertar el resultado de forma autónoma en pocas ocasiones, requiriendo ayuda.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cierta precisión en el resultado, fallando en algunas ocasiones.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precisión  acertando el resultado.</w:t>
            </w:r>
          </w:p>
        </w:tc>
      </w:tr>
      <w:tr>
        <w:trPr>
          <w:trHeight w:val="2673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>
                <w:rFonts w:ascii="Arial" w:hAnsi="Arial" w:eastAsia="Calibri" w:cs="Arial"/>
                <w:bCs/>
                <w:sz w:val="20"/>
                <w:szCs w:val="20"/>
                <w:lang w:eastAsia="es-ES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MAT.3.10.1. Interpreta y describe representaciones espaciales de la vida cotidiana (croquis, planos, maquetas...) utilizando las nociones geométricas básicas (situación, movimiento, paralelismo, perpendicularidad, escala, simetría, perímetro y superficie).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 con mucha dificultad alguna de las informaciones obtenidas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Expone/presenta algunos hallazgos de la búsqueda y tratamiento de la información realizado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Expone/presenta los principales hallazgos de la búsqueda y tratamiento de la información realizado 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Expone/presenta los principales hallazgos de la búsqueda y tratamiento de la información realizado de manera clara, rigurosa y coherente respecto a los datos obtenidos</w:t>
            </w:r>
          </w:p>
        </w:tc>
      </w:tr>
      <w:tr>
        <w:trPr>
          <w:trHeight w:val="2094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MAT.3.11.1. Conoce y describe las figuras planas: cuadrado, rectángulo, romboide, triángulo, trapecio, rombo y círculo relacionándolas con elementos del contexto real.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Tiene dificultades para reconocer las figuras tratadas, así como para identificarlas en contextos reales.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 mayoría de las figuras tratadas aunque con errores y confusiones frecuentes.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 mayoría de las figuras tratadas o con algunos errores.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Conoce y describe las figuras tratadas relacionándolas con elementos del contexto real.</w:t>
            </w:r>
          </w:p>
        </w:tc>
      </w:tr>
      <w:tr>
        <w:trPr>
          <w:trHeight w:val="1440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MAT.3.13.1. Comprende el método de cálculo del perímetro y el área de paralelogramos, triángulos, trapecios y rombos.</w:t>
            </w:r>
          </w:p>
          <w:p>
            <w:pPr>
              <w:pStyle w:val="Normal"/>
              <w:spacing w:before="120" w:after="120"/>
              <w:rPr>
                <w:rFonts w:ascii="Verdana" w:hAnsi="Verdana" w:eastAsia="Verdana" w:cs="Verdana"/>
                <w:spacing w:val="31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pacing w:val="31"/>
                <w:sz w:val="17"/>
                <w:szCs w:val="17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Tiene muchas dificultades para extraer los datos, incluso con ayuda. </w:t>
            </w:r>
          </w:p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La verbalización sobre la situación problemática planteada es inexistente o incorrecta.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 xml:space="preserve">Recoge los datos con precisión  utilizando las estrategias trabajadas en clase con la ayuda de un compañero, compañera, la maestra o el maestro. Muestra dificultades en entender qué pide el problema. 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Lee el problema comprendiéndolo, aunque muestra dificultad para realizarlo y para expresarlo con sus propias palabras cuando se han de realizar conjeturas o valoraciones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</w:rPr>
            </w:pPr>
            <w:r>
              <w:rPr>
                <w:rFonts w:eastAsia="Calibri" w:cs="Arial" w:ascii="Arial" w:hAnsi="Arial"/>
                <w:sz w:val="20"/>
              </w:rPr>
              <w:t>Lee el problema comprendiéndolo sin dificultad, distinguiendo lo que conocemos de lo que buscamos, realizando un esquema o representación gráfica para organizar la información, expresándolo con sus propias palabras</w:t>
            </w:r>
          </w:p>
        </w:tc>
      </w:tr>
      <w:tr>
        <w:trPr>
          <w:trHeight w:val="1408" w:hRule="atLeast"/>
        </w:trPr>
        <w:tc>
          <w:tcPr>
            <w:tcW w:w="25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rFonts w:eastAsia="Calibri" w:cs="Arial" w:ascii="Arial" w:hAnsi="Arial"/>
                <w:bCs/>
                <w:sz w:val="20"/>
                <w:szCs w:val="20"/>
                <w:lang w:eastAsia="es-ES"/>
              </w:rPr>
              <w:t>MAT.3.13.2. Calcula el perímetro y el área de paralelogramos, triángulos, trapecios y rombos en situaciones de la vida cotidiana.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Registro profesorado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Rúbricas: cuaderno,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Prueba</w:t>
            </w:r>
          </w:p>
          <w:p>
            <w:pPr>
              <w:pStyle w:val="Normal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Re</w:t>
            </w:r>
            <w:r>
              <w:rPr>
                <w:rFonts w:cs="Arial" w:ascii="Arial" w:hAnsi="Arial"/>
                <w:sz w:val="20"/>
                <w:szCs w:val="20"/>
              </w:rPr>
              <w:t xml:space="preserve">aliza algunos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dificultades, requiriendo ayuda siempre para lograr un resultado acertado.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pero con dificultades, logrando acertar el resultado de forma autónoma en pocas ocasiones, requiriendo ayuda.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cierta precisión en el resultado, fallando en algunas ocasiones.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12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 cálculos </w:t>
            </w:r>
            <w:r>
              <w:rPr>
                <w:rFonts w:eastAsia="Calibri" w:cs="Arial" w:ascii="Arial" w:hAnsi="Arial"/>
                <w:sz w:val="20"/>
                <w:szCs w:val="20"/>
              </w:rPr>
              <w:t>con precisión  acertando el resultado.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32"/>
          <w:szCs w:val="28"/>
        </w:rPr>
        <w:t>La valoración de la rúbrica correspondiente a cada indicador se ha situado en una tabla de doble entrada</w:t>
      </w:r>
      <w:r>
        <w:rPr>
          <w:sz w:val="28"/>
          <w:szCs w:val="28"/>
        </w:rPr>
        <w:t>.</w:t>
      </w:r>
      <w:r>
        <w:rPr>
          <w:sz w:val="32"/>
          <w:szCs w:val="28"/>
        </w:rPr>
        <w:t xml:space="preserve"> (Los indicadores de evaluación, en horizontal; y los alumnos/as, en vertical.)</w:t>
      </w:r>
    </w:p>
    <w:sectPr>
      <w:type w:val="nextPage"/>
      <w:pgSz w:orient="landscape" w:w="16838" w:h="11906"/>
      <w:pgMar w:left="993" w:right="820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variable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a09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5c1efa"/>
    <w:rPr>
      <w:color w:val="00993B"/>
    </w:rPr>
  </w:style>
  <w:style w:type="character" w:styleId="ListLabel2" w:customStyle="1">
    <w:name w:val="ListLabel 2"/>
    <w:qFormat/>
    <w:rsid w:val="005c1efa"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Cuerpodetexto" w:customStyle="1">
    <w:name w:val="Cuerpo de texto"/>
    <w:basedOn w:val="Normal"/>
    <w:rsid w:val="005c1efa"/>
    <w:pPr>
      <w:spacing w:lineRule="auto" w:line="288" w:before="0" w:after="140"/>
    </w:pPr>
    <w:rPr/>
  </w:style>
  <w:style w:type="paragraph" w:styleId="Lista">
    <w:name w:val="Lista"/>
    <w:basedOn w:val="Normal"/>
    <w:rsid w:val="00b07628"/>
    <w:pPr>
      <w:tabs>
        <w:tab w:val="left" w:pos="284" w:leader="none"/>
      </w:tabs>
      <w:spacing w:before="120" w:after="0"/>
      <w:jc w:val="both"/>
    </w:pPr>
    <w:rPr>
      <w:rFonts w:ascii="Arial" w:hAnsi="Arial" w:eastAsia="Calibri" w:cs="Times New Roman"/>
      <w:sz w:val="24"/>
      <w:szCs w:val="20"/>
      <w:lang w:eastAsia="es-ES"/>
    </w:rPr>
  </w:style>
  <w:style w:type="paragraph" w:styleId="Leyenda" w:customStyle="1">
    <w:name w:val="Leyenda"/>
    <w:basedOn w:val="Normal"/>
    <w:rsid w:val="005c1ef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 w:customStyle="1">
    <w:name w:val="Índice"/>
    <w:basedOn w:val="Normal"/>
    <w:qFormat/>
    <w:rsid w:val="005c1efa"/>
    <w:pPr>
      <w:suppressLineNumbers/>
    </w:pPr>
    <w:rPr>
      <w:rFonts w:cs="Lohit Hindi"/>
    </w:rPr>
  </w:style>
  <w:style w:type="paragraph" w:styleId="Encabezamiento">
    <w:name w:val="Encabezamiento"/>
    <w:basedOn w:val="Normal"/>
    <w:qFormat/>
    <w:rsid w:val="005c1efa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ef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0762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LibreOffice/5.0.5.2$Linux_x86 LibreOffice_project/00m0$Build-2</Application>
  <Paragraphs>117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2017-05-28T17:18:00Z</dcterms:created>
  <dc:creator>pc</dc:creator>
  <dc:language>es-ES</dc:language>
  <cp:lastModifiedBy>usuario </cp:lastModifiedBy>
  <dcterms:modified xsi:type="dcterms:W3CDTF">2017-05-29T17:53:12Z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