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AC" w:rsidRPr="00EE7F8D" w:rsidRDefault="002B51AC" w:rsidP="002B51AC">
      <w:pPr>
        <w:pStyle w:val="Ttulo1"/>
        <w:rPr>
          <w:color w:val="105C56"/>
          <w:lang w:val="en-US"/>
        </w:rPr>
      </w:pPr>
      <w:r>
        <w:rPr>
          <w:color w:val="105C56"/>
          <w:lang w:val="en-US"/>
        </w:rPr>
        <w:t>PLAN DE FORMACIÓN</w:t>
      </w:r>
    </w:p>
    <w:p w:rsidR="002B51AC" w:rsidRPr="00EE7F8D" w:rsidRDefault="002B51AC" w:rsidP="002B51AC">
      <w:pPr>
        <w:pStyle w:val="Contenidodelatabla"/>
        <w:numPr>
          <w:ilvl w:val="0"/>
          <w:numId w:val="1"/>
        </w:numPr>
        <w:shd w:val="clear" w:color="auto" w:fill="DEEAF6"/>
        <w:spacing w:after="283"/>
        <w:jc w:val="both"/>
        <w:rPr>
          <w:color w:val="105C56"/>
          <w:sz w:val="22"/>
          <w:szCs w:val="22"/>
        </w:rPr>
      </w:pPr>
      <w:r w:rsidRPr="00EE7F8D">
        <w:rPr>
          <w:rFonts w:ascii="NewsGotT" w:hAnsi="NewsGotT"/>
          <w:color w:val="105C56"/>
          <w:sz w:val="22"/>
          <w:szCs w:val="22"/>
        </w:rPr>
        <w:t>En relación con las líneas de trabajo que el centro haya seleccionado y las necesidades formativas que tiene el profesorado para la implementación del programa, detalle los siguientes apartados del Proyecto de Formación Específica:</w:t>
      </w:r>
      <w:r w:rsidRPr="00EE7F8D">
        <w:rPr>
          <w:rFonts w:ascii="NewsGotT-Regu" w:hAnsi="NewsGotT-Regu" w:cs="NewsGotT-Regu"/>
          <w:color w:val="105C56"/>
        </w:rPr>
        <w:t xml:space="preserve"> </w:t>
      </w:r>
    </w:p>
    <w:p w:rsidR="002B51AC" w:rsidRDefault="002B51AC" w:rsidP="002B51AC">
      <w:pPr>
        <w:pStyle w:val="Contenidodelatabl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  <w:r w:rsidRPr="00EE7F8D">
        <w:rPr>
          <w:rFonts w:ascii="NewsGotT" w:hAnsi="NewsGotT" w:cs="NewsGotT-Regu"/>
          <w:color w:val="105C56"/>
          <w:sz w:val="22"/>
          <w:szCs w:val="22"/>
        </w:rPr>
        <w:t>Formación previa en relación con la CCL llevada a cabo durante los últimos cursos.</w:t>
      </w:r>
    </w:p>
    <w:p w:rsidR="002B51AC" w:rsidRPr="00134B97" w:rsidRDefault="002B51AC" w:rsidP="002B51AC">
      <w:pPr>
        <w:ind w:left="720"/>
        <w:rPr>
          <w:rFonts w:ascii="Calibri" w:hAnsi="Calibri" w:cs="Tahoma"/>
          <w:b/>
          <w:kern w:val="3"/>
          <w:sz w:val="20"/>
          <w:szCs w:val="20"/>
          <w:lang w:eastAsia="zh-CN"/>
        </w:rPr>
      </w:pPr>
      <w:r w:rsidRPr="00134B97">
        <w:rPr>
          <w:rFonts w:ascii="Calibri" w:hAnsi="Calibri" w:cs="Tahoma"/>
          <w:b/>
          <w:kern w:val="3"/>
          <w:sz w:val="20"/>
          <w:szCs w:val="20"/>
          <w:lang w:eastAsia="zh-CN"/>
        </w:rPr>
        <w:t>Grupos de trabajo</w:t>
      </w:r>
    </w:p>
    <w:p w:rsidR="002B51AC" w:rsidRPr="00275F5B" w:rsidRDefault="002B51AC" w:rsidP="002B51AC">
      <w:pPr>
        <w:ind w:left="709"/>
        <w:rPr>
          <w:rFonts w:ascii="Calibri" w:hAnsi="Calibri" w:cs="Tahoma"/>
          <w:color w:val="105C56"/>
          <w:kern w:val="3"/>
          <w:sz w:val="20"/>
          <w:szCs w:val="20"/>
          <w:lang w:eastAsia="zh-CN"/>
        </w:rPr>
      </w:pPr>
      <w:r w:rsidRPr="00EB4F68">
        <w:rPr>
          <w:rFonts w:ascii="Calibri" w:hAnsi="Calibri" w:cs="Tahoma"/>
          <w:kern w:val="3"/>
          <w:sz w:val="20"/>
          <w:szCs w:val="20"/>
          <w:lang w:eastAsia="zh-CN"/>
        </w:rPr>
        <w:t>“El ABP, una propuesta curricular basada en el aprendizaje colaborativo”</w:t>
      </w:r>
      <w:r w:rsidRPr="00275F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275F5B">
        <w:rPr>
          <w:rFonts w:ascii="Calibri" w:hAnsi="Calibri" w:cs="Tahoma"/>
          <w:sz w:val="20"/>
          <w:szCs w:val="20"/>
        </w:rPr>
        <w:t>(2015-2016)</w:t>
      </w:r>
      <w:r>
        <w:rPr>
          <w:rFonts w:ascii="Tahoma" w:hAnsi="Tahoma" w:cs="Tahoma"/>
        </w:rPr>
        <w:t xml:space="preserve"> </w:t>
      </w:r>
      <w:r w:rsidRPr="00275F5B">
        <w:rPr>
          <w:rFonts w:ascii="Calibri" w:hAnsi="Calibri" w:cs="Tahoma"/>
          <w:sz w:val="20"/>
          <w:szCs w:val="20"/>
        </w:rPr>
        <w:t>Código:</w:t>
      </w:r>
      <w:r>
        <w:rPr>
          <w:rFonts w:ascii="Tahoma" w:hAnsi="Tahoma" w:cs="Tahoma"/>
        </w:rPr>
        <w:t xml:space="preserve"> </w:t>
      </w:r>
      <w:r w:rsidRPr="00275F5B">
        <w:rPr>
          <w:rFonts w:ascii="Calibri" w:hAnsi="Calibri" w:cs="Tahoma"/>
          <w:sz w:val="20"/>
          <w:szCs w:val="20"/>
        </w:rPr>
        <w:t>161811GT059</w:t>
      </w:r>
    </w:p>
    <w:p w:rsidR="002B51AC" w:rsidRPr="00134B97" w:rsidRDefault="002B51AC" w:rsidP="002B51AC">
      <w:pPr>
        <w:ind w:left="720"/>
        <w:rPr>
          <w:rFonts w:ascii="Calibri" w:hAnsi="Calibri" w:cs="Tahoma"/>
          <w:b/>
          <w:sz w:val="20"/>
          <w:szCs w:val="20"/>
          <w:lang w:eastAsia="zh-CN"/>
        </w:rPr>
      </w:pPr>
      <w:r>
        <w:rPr>
          <w:rFonts w:ascii="Calibri" w:hAnsi="Calibri" w:cs="Tahoma"/>
          <w:b/>
          <w:sz w:val="20"/>
          <w:szCs w:val="20"/>
          <w:lang w:eastAsia="zh-CN"/>
        </w:rPr>
        <w:t>Proyecto de innovación educativa</w:t>
      </w:r>
    </w:p>
    <w:p w:rsidR="002B51AC" w:rsidRPr="00275F5B" w:rsidRDefault="002B51AC" w:rsidP="002B51AC">
      <w:pPr>
        <w:ind w:left="709"/>
        <w:rPr>
          <w:rFonts w:ascii="Calibri" w:hAnsi="Calibri"/>
          <w:sz w:val="20"/>
          <w:szCs w:val="20"/>
          <w:lang w:eastAsia="zh-CN"/>
        </w:rPr>
      </w:pPr>
      <w:r w:rsidRPr="00EB4F68">
        <w:rPr>
          <w:rFonts w:ascii="Calibri" w:hAnsi="Calibri" w:cs="Tahoma"/>
          <w:sz w:val="20"/>
          <w:szCs w:val="20"/>
          <w:lang w:eastAsia="zh-CN"/>
        </w:rPr>
        <w:t>“Hacia una propuesta curricular interdisciplinar basada en el aprendizaje colaborativo”</w:t>
      </w:r>
      <w:r>
        <w:rPr>
          <w:rFonts w:ascii="Calibri" w:hAnsi="Calibri" w:cs="Tahoma"/>
          <w:sz w:val="20"/>
          <w:szCs w:val="20"/>
          <w:lang w:eastAsia="zh-CN"/>
        </w:rPr>
        <w:t xml:space="preserve"> (2016-2017) Código:</w:t>
      </w:r>
      <w:r w:rsidRPr="00275F5B">
        <w:rPr>
          <w:rFonts w:ascii="NewsGotT" w:hAnsi="NewsGotT"/>
          <w:lang w:eastAsia="zh-CN"/>
        </w:rPr>
        <w:t xml:space="preserve"> </w:t>
      </w:r>
      <w:r w:rsidRPr="00275F5B">
        <w:rPr>
          <w:rFonts w:ascii="Calibri" w:hAnsi="Calibri"/>
          <w:sz w:val="20"/>
          <w:szCs w:val="20"/>
          <w:lang w:eastAsia="zh-CN"/>
        </w:rPr>
        <w:t>171811GT080</w:t>
      </w:r>
    </w:p>
    <w:p w:rsidR="002B51AC" w:rsidRPr="00134B97" w:rsidRDefault="002B51AC" w:rsidP="002B51AC">
      <w:pPr>
        <w:ind w:left="720"/>
        <w:rPr>
          <w:rFonts w:ascii="Calibri" w:hAnsi="Calibri" w:cs="Tahoma"/>
          <w:b/>
          <w:sz w:val="20"/>
          <w:szCs w:val="20"/>
          <w:lang w:eastAsia="zh-CN"/>
        </w:rPr>
      </w:pPr>
      <w:r>
        <w:rPr>
          <w:rFonts w:ascii="Calibri" w:hAnsi="Calibri" w:cs="Tahoma"/>
          <w:sz w:val="20"/>
          <w:szCs w:val="20"/>
          <w:lang w:eastAsia="zh-CN"/>
        </w:rPr>
        <w:t xml:space="preserve"> </w:t>
      </w:r>
      <w:r>
        <w:rPr>
          <w:rFonts w:ascii="Calibri" w:hAnsi="Calibri" w:cs="Tahoma"/>
          <w:b/>
          <w:sz w:val="20"/>
          <w:szCs w:val="20"/>
          <w:lang w:eastAsia="zh-CN"/>
        </w:rPr>
        <w:t>Encuentros de Buenas Prácticas</w:t>
      </w:r>
    </w:p>
    <w:p w:rsidR="002B51AC" w:rsidRPr="000344CF" w:rsidRDefault="002B51AC" w:rsidP="002B51AC">
      <w:pPr>
        <w:ind w:left="720"/>
        <w:rPr>
          <w:rFonts w:ascii="Calibri" w:hAnsi="Calibri" w:cs="Tahoma"/>
          <w:sz w:val="20"/>
          <w:szCs w:val="20"/>
          <w:lang w:eastAsia="zh-CN"/>
        </w:rPr>
      </w:pPr>
      <w:r>
        <w:rPr>
          <w:rFonts w:ascii="Calibri" w:hAnsi="Calibri" w:cs="Tahoma"/>
          <w:sz w:val="20"/>
          <w:szCs w:val="20"/>
          <w:lang w:eastAsia="zh-CN"/>
        </w:rPr>
        <w:t xml:space="preserve">Curso 2015-16: participación en las Jornadas de Buenas Prácticas del CEP de Granada </w:t>
      </w:r>
      <w:r>
        <w:rPr>
          <w:rFonts w:ascii="Calibri" w:hAnsi="Calibri" w:cs="Tahoma"/>
          <w:i/>
          <w:sz w:val="20"/>
          <w:szCs w:val="20"/>
          <w:lang w:eastAsia="zh-CN"/>
        </w:rPr>
        <w:t xml:space="preserve">El centro </w:t>
      </w:r>
      <w:proofErr w:type="gramStart"/>
      <w:r>
        <w:rPr>
          <w:rFonts w:ascii="Calibri" w:hAnsi="Calibri" w:cs="Tahoma"/>
          <w:i/>
          <w:sz w:val="20"/>
          <w:szCs w:val="20"/>
          <w:lang w:eastAsia="zh-CN"/>
        </w:rPr>
        <w:t>como</w:t>
      </w:r>
      <w:proofErr w:type="gramEnd"/>
      <w:r>
        <w:rPr>
          <w:rFonts w:ascii="Calibri" w:hAnsi="Calibri" w:cs="Tahoma"/>
          <w:i/>
          <w:sz w:val="20"/>
          <w:szCs w:val="20"/>
          <w:lang w:eastAsia="zh-CN"/>
        </w:rPr>
        <w:t xml:space="preserve"> motor de cambio, </w:t>
      </w:r>
      <w:r>
        <w:rPr>
          <w:rFonts w:ascii="Calibri" w:hAnsi="Calibri" w:cs="Tahoma"/>
          <w:sz w:val="20"/>
          <w:szCs w:val="20"/>
          <w:lang w:eastAsia="zh-CN"/>
        </w:rPr>
        <w:t xml:space="preserve">con la presentación del proyecto interdisciplinar </w:t>
      </w:r>
      <w:proofErr w:type="spellStart"/>
      <w:r w:rsidRPr="006260D7">
        <w:rPr>
          <w:rFonts w:ascii="Calibri" w:hAnsi="Calibri" w:cs="Calibri"/>
          <w:i/>
          <w:sz w:val="20"/>
          <w:szCs w:val="20"/>
        </w:rPr>
        <w:t>Languages</w:t>
      </w:r>
      <w:proofErr w:type="spellEnd"/>
      <w:r w:rsidRPr="006260D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6260D7">
        <w:rPr>
          <w:rFonts w:ascii="Calibri" w:hAnsi="Calibri" w:cs="Calibri"/>
          <w:i/>
          <w:sz w:val="20"/>
          <w:szCs w:val="20"/>
        </w:rPr>
        <w:t>around</w:t>
      </w:r>
      <w:proofErr w:type="spellEnd"/>
      <w:r w:rsidRPr="006260D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6260D7">
        <w:rPr>
          <w:rFonts w:ascii="Calibri" w:hAnsi="Calibri" w:cs="Calibri"/>
          <w:i/>
          <w:sz w:val="20"/>
          <w:szCs w:val="20"/>
        </w:rPr>
        <w:t>the</w:t>
      </w:r>
      <w:proofErr w:type="spellEnd"/>
      <w:r w:rsidRPr="006260D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6260D7">
        <w:rPr>
          <w:rFonts w:ascii="Calibri" w:hAnsi="Calibri" w:cs="Calibri"/>
          <w:i/>
          <w:sz w:val="20"/>
          <w:szCs w:val="20"/>
        </w:rPr>
        <w:t>World</w:t>
      </w:r>
      <w:proofErr w:type="spellEnd"/>
      <w:r w:rsidRPr="006260D7">
        <w:rPr>
          <w:rFonts w:ascii="Calibri" w:hAnsi="Calibri" w:cs="Calibri"/>
          <w:i/>
          <w:sz w:val="20"/>
          <w:szCs w:val="20"/>
        </w:rPr>
        <w:t>.</w:t>
      </w:r>
      <w:r w:rsidRPr="006260D7">
        <w:rPr>
          <w:rFonts w:ascii="Calibri" w:hAnsi="Calibri" w:cs="Calibri"/>
          <w:sz w:val="20"/>
          <w:szCs w:val="20"/>
        </w:rPr>
        <w:t xml:space="preserve"> Mayo, 2016.</w:t>
      </w:r>
    </w:p>
    <w:p w:rsidR="002B51AC" w:rsidRPr="00EE7F8D" w:rsidRDefault="002B51AC" w:rsidP="002B51AC">
      <w:pPr>
        <w:pStyle w:val="Contenidodelatabla"/>
        <w:autoSpaceDE w:val="0"/>
        <w:autoSpaceDN w:val="0"/>
        <w:adjustRightInd w:val="0"/>
        <w:spacing w:line="240" w:lineRule="auto"/>
        <w:jc w:val="both"/>
        <w:rPr>
          <w:rFonts w:ascii="NewsGotT" w:hAnsi="NewsGotT" w:cs="NewsGotT-Regu"/>
          <w:color w:val="105C56"/>
          <w:sz w:val="22"/>
          <w:szCs w:val="22"/>
        </w:rPr>
      </w:pPr>
    </w:p>
    <w:p w:rsidR="002B51AC" w:rsidRDefault="002B51AC" w:rsidP="002B51AC">
      <w:pPr>
        <w:pStyle w:val="Contenidodelatabl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  <w:r w:rsidRPr="00EE7F8D">
        <w:rPr>
          <w:rFonts w:ascii="NewsGotT" w:hAnsi="NewsGotT" w:cs="NewsGotT-Regu"/>
          <w:color w:val="105C56"/>
          <w:sz w:val="22"/>
          <w:szCs w:val="22"/>
        </w:rPr>
        <w:t>Necesidades formativas del profesorado a partir de los procesos de autoevaluación y mejora en relación con el programa.</w:t>
      </w:r>
    </w:p>
    <w:p w:rsidR="002B51AC" w:rsidRDefault="002B51AC" w:rsidP="002B51AC">
      <w:pPr>
        <w:pStyle w:val="Contenidodelatabla"/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</w:p>
    <w:p w:rsidR="002B51AC" w:rsidRDefault="002B51AC" w:rsidP="002B51AC">
      <w:pPr>
        <w:pStyle w:val="Contenidodelatabla"/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 w:cs="NewsGotT-Regu"/>
          <w:sz w:val="20"/>
          <w:szCs w:val="20"/>
        </w:rPr>
      </w:pPr>
      <w:r>
        <w:rPr>
          <w:rFonts w:ascii="Calibri" w:hAnsi="Calibri" w:cs="NewsGotT-Regu"/>
          <w:sz w:val="20"/>
          <w:szCs w:val="20"/>
        </w:rPr>
        <w:t>En el proceso de detección de necesidades y elaboración de la Memoria de Autoevaluación, el profesorado</w:t>
      </w:r>
      <w:r w:rsidRPr="00E10891">
        <w:rPr>
          <w:rFonts w:ascii="Calibri" w:hAnsi="Calibri" w:cs="NewsGotT-Regu"/>
          <w:sz w:val="20"/>
          <w:szCs w:val="20"/>
        </w:rPr>
        <w:t xml:space="preserve"> del centro, especialmente los de las ANL, </w:t>
      </w:r>
      <w:r>
        <w:rPr>
          <w:rFonts w:ascii="Calibri" w:hAnsi="Calibri" w:cs="NewsGotT-Regu"/>
          <w:sz w:val="20"/>
          <w:szCs w:val="20"/>
        </w:rPr>
        <w:t>ha manif</w:t>
      </w:r>
      <w:r w:rsidRPr="00E10891">
        <w:rPr>
          <w:rFonts w:ascii="Calibri" w:hAnsi="Calibri" w:cs="NewsGotT-Regu"/>
          <w:sz w:val="20"/>
          <w:szCs w:val="20"/>
        </w:rPr>
        <w:t>esta</w:t>
      </w:r>
      <w:r>
        <w:rPr>
          <w:rFonts w:ascii="Calibri" w:hAnsi="Calibri" w:cs="NewsGotT-Regu"/>
          <w:sz w:val="20"/>
          <w:szCs w:val="20"/>
        </w:rPr>
        <w:t>do la necesidad de formarse en materias como las tipologías textuales, el trabajo con la expresión y comprensión oral, la programación de la Competencia Lingüística en todas las áreas y la creación de instrumentos de evaluación como las rúbricas.</w:t>
      </w:r>
    </w:p>
    <w:p w:rsidR="002B51AC" w:rsidRDefault="002B51AC" w:rsidP="002B51AC">
      <w:pPr>
        <w:pStyle w:val="Contenidodelatabla"/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 w:cs="NewsGotT-Regu"/>
          <w:sz w:val="20"/>
          <w:szCs w:val="20"/>
        </w:rPr>
      </w:pPr>
      <w:r>
        <w:rPr>
          <w:rFonts w:ascii="Calibri" w:hAnsi="Calibri" w:cs="NewsGotT-Regu"/>
          <w:sz w:val="20"/>
          <w:szCs w:val="20"/>
        </w:rPr>
        <w:t>Esta necesidad coincide con las líneas estratégicas del III Plan de Formación, así como con las prioridades de la Comisión de Coordinación zonal del servicio de Inspección de Granada.</w:t>
      </w:r>
    </w:p>
    <w:p w:rsidR="002B51AC" w:rsidRPr="00E10891" w:rsidRDefault="002B51AC" w:rsidP="002B51AC">
      <w:pPr>
        <w:pStyle w:val="Contenidodelatabla"/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 w:cs="NewsGotT-Regu"/>
          <w:sz w:val="20"/>
          <w:szCs w:val="20"/>
        </w:rPr>
      </w:pPr>
    </w:p>
    <w:p w:rsidR="002B51AC" w:rsidRDefault="002B51AC" w:rsidP="002B51A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  <w:r w:rsidRPr="00EE7F8D">
        <w:rPr>
          <w:rFonts w:ascii="NewsGotT" w:hAnsi="NewsGotT" w:cs="NewsGotT-Regu"/>
          <w:color w:val="105C56"/>
          <w:sz w:val="22"/>
          <w:szCs w:val="22"/>
        </w:rPr>
        <w:t>Actuaciones formativas, con incidencia en el aula, en el funcionamiento del centro y en la Comunidad Educativa necesarias para desarrollar las líneas de trabajo, los contenidos, la metodología y las estrategias seleccionadas del programa, así como para realizar su seguimiento y evaluación. Especificar tanto las actuaciones formativas como la temporización.</w:t>
      </w:r>
    </w:p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 w:cs="NewsGotT-Regu"/>
          <w:sz w:val="20"/>
          <w:szCs w:val="20"/>
        </w:rPr>
      </w:pPr>
    </w:p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 w:cs="NewsGotT-Regu"/>
          <w:sz w:val="20"/>
          <w:szCs w:val="20"/>
        </w:rPr>
      </w:pPr>
      <w:r>
        <w:rPr>
          <w:rFonts w:ascii="Calibri" w:hAnsi="Calibri" w:cs="NewsGotT-Regu"/>
          <w:sz w:val="20"/>
          <w:szCs w:val="20"/>
        </w:rPr>
        <w:t>A lo largo del curso se pondrán en marcha actuaciones formativas específicas, en forma de talleres en los que participará todo el claustro, sobre las siguientes temáticas:</w:t>
      </w:r>
    </w:p>
    <w:p w:rsidR="002B51AC" w:rsidRPr="000344CF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 w:cs="NewsGotT-Regu"/>
          <w:sz w:val="20"/>
          <w:szCs w:val="20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375"/>
      </w:tblGrid>
      <w:tr w:rsidR="002B51AC" w:rsidRPr="00B338F8" w:rsidTr="008619EF">
        <w:tc>
          <w:tcPr>
            <w:tcW w:w="5211" w:type="dxa"/>
          </w:tcPr>
          <w:p w:rsidR="002B51AC" w:rsidRPr="00B338F8" w:rsidRDefault="002B51AC" w:rsidP="00861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ewsGotT" w:hAnsi="NewsGotT" w:cs="NewsGotT-Regu"/>
                <w:b/>
                <w:sz w:val="22"/>
                <w:szCs w:val="22"/>
              </w:rPr>
            </w:pPr>
            <w:r w:rsidRPr="00B338F8">
              <w:rPr>
                <w:rFonts w:ascii="NewsGotT" w:hAnsi="NewsGotT" w:cs="NewsGotT-Regu"/>
                <w:b/>
                <w:sz w:val="22"/>
                <w:szCs w:val="22"/>
              </w:rPr>
              <w:t>Actuaciones formativas</w:t>
            </w:r>
          </w:p>
        </w:tc>
        <w:tc>
          <w:tcPr>
            <w:tcW w:w="2375" w:type="dxa"/>
          </w:tcPr>
          <w:p w:rsidR="002B51AC" w:rsidRPr="00B338F8" w:rsidRDefault="002B51AC" w:rsidP="00861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NewsGotT-Regu"/>
                <w:b/>
                <w:sz w:val="20"/>
                <w:szCs w:val="20"/>
              </w:rPr>
            </w:pPr>
            <w:proofErr w:type="spellStart"/>
            <w:r w:rsidRPr="00B338F8">
              <w:rPr>
                <w:rFonts w:ascii="Calibri" w:hAnsi="Calibri" w:cs="NewsGotT-Regu"/>
                <w:b/>
                <w:sz w:val="20"/>
                <w:szCs w:val="20"/>
              </w:rPr>
              <w:t>Temporalización</w:t>
            </w:r>
            <w:proofErr w:type="spellEnd"/>
          </w:p>
        </w:tc>
      </w:tr>
      <w:tr w:rsidR="002B51AC" w:rsidRPr="00B338F8" w:rsidTr="008619EF">
        <w:tc>
          <w:tcPr>
            <w:tcW w:w="5211" w:type="dxa"/>
          </w:tcPr>
          <w:p w:rsidR="002B51AC" w:rsidRPr="006260D7" w:rsidRDefault="002B51AC" w:rsidP="00861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Destrezas lingüísticas. El plan de escritura</w:t>
            </w:r>
          </w:p>
        </w:tc>
        <w:tc>
          <w:tcPr>
            <w:tcW w:w="2375" w:type="dxa"/>
          </w:tcPr>
          <w:p w:rsidR="002B51AC" w:rsidRPr="00B338F8" w:rsidRDefault="002B51AC" w:rsidP="00861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 w:cs="NewsGotT-Regu"/>
                <w:color w:val="105C56"/>
                <w:sz w:val="22"/>
                <w:szCs w:val="22"/>
              </w:rPr>
            </w:pPr>
            <w:r w:rsidRPr="00B338F8">
              <w:rPr>
                <w:rFonts w:ascii="NewsGotT" w:hAnsi="NewsGotT" w:cs="NewsGotT-Regu"/>
                <w:color w:val="105C56"/>
                <w:sz w:val="22"/>
                <w:szCs w:val="22"/>
              </w:rPr>
              <w:t>Enero</w:t>
            </w:r>
          </w:p>
        </w:tc>
      </w:tr>
      <w:tr w:rsidR="002B51AC" w:rsidRPr="00B338F8" w:rsidTr="008619EF">
        <w:tc>
          <w:tcPr>
            <w:tcW w:w="5211" w:type="dxa"/>
          </w:tcPr>
          <w:p w:rsidR="002B51AC" w:rsidRPr="006260D7" w:rsidRDefault="002B51AC" w:rsidP="00861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60D7">
              <w:rPr>
                <w:rFonts w:ascii="Calibri" w:hAnsi="Calibri" w:cs="Calibri"/>
                <w:sz w:val="20"/>
                <w:szCs w:val="20"/>
              </w:rPr>
              <w:t>Tipologías textuales</w:t>
            </w:r>
          </w:p>
        </w:tc>
        <w:tc>
          <w:tcPr>
            <w:tcW w:w="2375" w:type="dxa"/>
          </w:tcPr>
          <w:p w:rsidR="002B51AC" w:rsidRPr="00B338F8" w:rsidRDefault="002B51AC" w:rsidP="00861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 w:cs="NewsGotT-Regu"/>
                <w:color w:val="105C56"/>
                <w:sz w:val="22"/>
                <w:szCs w:val="22"/>
              </w:rPr>
            </w:pPr>
            <w:r w:rsidRPr="00B338F8">
              <w:rPr>
                <w:rFonts w:ascii="NewsGotT" w:hAnsi="NewsGotT" w:cs="NewsGotT-Regu"/>
                <w:color w:val="105C56"/>
                <w:sz w:val="22"/>
                <w:szCs w:val="22"/>
              </w:rPr>
              <w:t>Marzo</w:t>
            </w:r>
          </w:p>
        </w:tc>
      </w:tr>
      <w:tr w:rsidR="002B51AC" w:rsidRPr="00B338F8" w:rsidTr="008619EF">
        <w:tc>
          <w:tcPr>
            <w:tcW w:w="5211" w:type="dxa"/>
          </w:tcPr>
          <w:p w:rsidR="002B51AC" w:rsidRPr="006260D7" w:rsidRDefault="002B51AC" w:rsidP="00861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60D7">
              <w:rPr>
                <w:rFonts w:ascii="Calibri" w:hAnsi="Calibri" w:cs="Calibri"/>
                <w:sz w:val="20"/>
                <w:szCs w:val="20"/>
              </w:rPr>
              <w:t>Expresión y comprensión orales</w:t>
            </w:r>
          </w:p>
        </w:tc>
        <w:tc>
          <w:tcPr>
            <w:tcW w:w="2375" w:type="dxa"/>
          </w:tcPr>
          <w:p w:rsidR="002B51AC" w:rsidRPr="00B338F8" w:rsidRDefault="002B51AC" w:rsidP="00861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sGotT" w:hAnsi="NewsGotT" w:cs="NewsGotT-Regu"/>
                <w:color w:val="105C56"/>
                <w:sz w:val="22"/>
                <w:szCs w:val="22"/>
              </w:rPr>
            </w:pPr>
            <w:r w:rsidRPr="00B338F8">
              <w:rPr>
                <w:rFonts w:ascii="NewsGotT" w:hAnsi="NewsGotT" w:cs="NewsGotT-Regu"/>
                <w:color w:val="105C56"/>
                <w:sz w:val="22"/>
                <w:szCs w:val="22"/>
              </w:rPr>
              <w:t>Abril</w:t>
            </w:r>
          </w:p>
        </w:tc>
      </w:tr>
    </w:tbl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</w:p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  <w:r>
        <w:rPr>
          <w:rFonts w:ascii="Calibri" w:hAnsi="Calibri"/>
          <w:bCs/>
          <w:sz w:val="20"/>
          <w:szCs w:val="20"/>
        </w:rPr>
        <w:t>Por otra parte, dentro del apartado de Formación se contempla el comentario y análisis de los recursos y la documentación aportada por el programa, a la que tiene acceso todo el claustro a través de la Red Colabora y de su Comunidad, dedicada a la Competencia Lingüística.</w:t>
      </w:r>
    </w:p>
    <w:p w:rsidR="002B51AC" w:rsidRPr="00EE7F8D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</w:p>
    <w:p w:rsidR="002B51AC" w:rsidRPr="00A37546" w:rsidRDefault="002B51AC" w:rsidP="002B51A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/>
          <w:b/>
          <w:bCs/>
          <w:color w:val="105C56"/>
          <w:sz w:val="22"/>
          <w:szCs w:val="22"/>
        </w:rPr>
      </w:pPr>
      <w:r w:rsidRPr="00EE7F8D">
        <w:rPr>
          <w:rFonts w:ascii="NewsGotT" w:hAnsi="NewsGotT" w:cs="NewsGotT-Regu"/>
          <w:color w:val="105C56"/>
          <w:sz w:val="22"/>
          <w:szCs w:val="22"/>
        </w:rPr>
        <w:t xml:space="preserve">Apoyos formativos externos necesarios para desarrollar las líneas de trabajo, los contenidos, la metodología y las estrategias seleccionadas del programa, así como para realizar su seguimiento y evaluación: Formación y asesoramiento externo </w:t>
      </w:r>
      <w:r w:rsidRPr="00EE7F8D">
        <w:rPr>
          <w:rFonts w:ascii="NewsGotT" w:hAnsi="NewsGotT" w:cs="NewsGotT-Regu"/>
          <w:color w:val="105C56"/>
          <w:sz w:val="22"/>
          <w:szCs w:val="22"/>
        </w:rPr>
        <w:lastRenderedPageBreak/>
        <w:t xml:space="preserve">(expertos, buenas prácticas, </w:t>
      </w:r>
      <w:proofErr w:type="spellStart"/>
      <w:r w:rsidRPr="00EE7F8D">
        <w:rPr>
          <w:rFonts w:ascii="NewsGotT" w:hAnsi="NewsGotT" w:cs="NewsGotT-Regu"/>
          <w:color w:val="105C56"/>
          <w:sz w:val="22"/>
          <w:szCs w:val="22"/>
        </w:rPr>
        <w:t>etc</w:t>
      </w:r>
      <w:proofErr w:type="spellEnd"/>
      <w:r w:rsidRPr="00EE7F8D">
        <w:rPr>
          <w:rFonts w:ascii="NewsGotT" w:hAnsi="NewsGotT" w:cs="NewsGotT-Regu"/>
          <w:color w:val="105C56"/>
          <w:sz w:val="22"/>
          <w:szCs w:val="22"/>
        </w:rPr>
        <w:t>). Documentación y recursos que se consideran necesarios. Acompañamiento de las asesorías de formación.</w:t>
      </w:r>
    </w:p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NewsGotT" w:hAnsi="NewsGotT" w:cs="NewsGotT-Regu"/>
          <w:color w:val="105C56"/>
          <w:sz w:val="22"/>
          <w:szCs w:val="22"/>
        </w:rPr>
      </w:pPr>
    </w:p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/>
          <w:bCs/>
          <w:sz w:val="20"/>
          <w:szCs w:val="20"/>
        </w:rPr>
      </w:pPr>
      <w:r w:rsidRPr="00AE124F">
        <w:rPr>
          <w:rFonts w:ascii="Calibri" w:hAnsi="Calibri"/>
          <w:b/>
          <w:bCs/>
          <w:sz w:val="20"/>
          <w:szCs w:val="20"/>
        </w:rPr>
        <w:t>Apoyo externo</w:t>
      </w:r>
      <w:r>
        <w:rPr>
          <w:rFonts w:ascii="Calibri" w:hAnsi="Calibri"/>
          <w:b/>
          <w:bCs/>
          <w:sz w:val="20"/>
          <w:szCs w:val="20"/>
        </w:rPr>
        <w:t xml:space="preserve"> de</w:t>
      </w:r>
      <w:r w:rsidRPr="00AE124F">
        <w:rPr>
          <w:rFonts w:ascii="Calibri" w:hAnsi="Calibri"/>
          <w:b/>
          <w:bCs/>
          <w:sz w:val="20"/>
          <w:szCs w:val="20"/>
        </w:rPr>
        <w:t xml:space="preserve"> expertos</w:t>
      </w:r>
      <w:r>
        <w:rPr>
          <w:rFonts w:ascii="Calibri" w:hAnsi="Calibri"/>
          <w:bCs/>
          <w:sz w:val="20"/>
          <w:szCs w:val="20"/>
        </w:rPr>
        <w:t>: Contamos con la colaboración del CEP, a través de nuestra asesora de referencia, en el diseño y puesta en marcha de las actuaciones formativas arriba indicadas para ser impartidas en nuestro propio centro, debido al número elevado de personas adscritas al PLC.</w:t>
      </w:r>
    </w:p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/>
          <w:bCs/>
          <w:sz w:val="20"/>
          <w:szCs w:val="20"/>
        </w:rPr>
      </w:pPr>
    </w:p>
    <w:p w:rsidR="002B51AC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Actividades voluntarias complementarias: </w:t>
      </w:r>
      <w:r>
        <w:rPr>
          <w:rFonts w:ascii="Calibri" w:hAnsi="Calibri"/>
          <w:bCs/>
          <w:sz w:val="20"/>
          <w:szCs w:val="20"/>
        </w:rPr>
        <w:t>Participación en distintos cursos del CEP de Granada, entre los que destacamos:</w:t>
      </w:r>
    </w:p>
    <w:p w:rsidR="002B51AC" w:rsidRDefault="002B51AC" w:rsidP="002B51A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Construimos un Proyecto Lingüístico de Centro</w:t>
      </w:r>
      <w:r>
        <w:rPr>
          <w:rFonts w:ascii="Calibri" w:hAnsi="Calibri"/>
          <w:bCs/>
          <w:sz w:val="20"/>
          <w:szCs w:val="20"/>
        </w:rPr>
        <w:t>. Curso con seguimiento.</w:t>
      </w:r>
    </w:p>
    <w:p w:rsidR="002B51AC" w:rsidRDefault="002B51AC" w:rsidP="002B51A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Dificultades de lectoescritura en distintos niveles educativos. Orientaciones de actuación en prevención e intervención. </w:t>
      </w:r>
      <w:r>
        <w:rPr>
          <w:rFonts w:ascii="Calibri" w:hAnsi="Calibri"/>
          <w:bCs/>
          <w:sz w:val="20"/>
          <w:szCs w:val="20"/>
        </w:rPr>
        <w:t>Curso.</w:t>
      </w:r>
    </w:p>
    <w:p w:rsidR="002B51AC" w:rsidRPr="00AE124F" w:rsidRDefault="002B51AC" w:rsidP="002B51A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Formación en el ámbito de los proyectos bilingües.</w:t>
      </w:r>
      <w:r>
        <w:rPr>
          <w:rFonts w:ascii="Calibri" w:hAnsi="Calibri"/>
          <w:bCs/>
          <w:sz w:val="20"/>
          <w:szCs w:val="20"/>
        </w:rPr>
        <w:t xml:space="preserve"> Curso con seguimiento organizado en módulos independientes.</w:t>
      </w:r>
    </w:p>
    <w:p w:rsidR="002B51AC" w:rsidRPr="00A37546" w:rsidRDefault="002B51AC" w:rsidP="002B51A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.</w:t>
      </w:r>
    </w:p>
    <w:p w:rsidR="00B03871" w:rsidRDefault="00B03871"/>
    <w:sectPr w:rsidR="00B03871" w:rsidSect="00B03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NewsGotT-Regu">
    <w:altName w:val="NewsGot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6pt;height:16pt" o:bullet="t">
        <v:imagedata r:id="rId1" o:title="sin titu"/>
      </v:shape>
    </w:pict>
  </w:numPicBullet>
  <w:abstractNum w:abstractNumId="0">
    <w:nsid w:val="27BA5700"/>
    <w:multiLevelType w:val="hybridMultilevel"/>
    <w:tmpl w:val="0F882BB6"/>
    <w:lvl w:ilvl="0" w:tplc="D44A9C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2E3A"/>
    <w:multiLevelType w:val="hybridMultilevel"/>
    <w:tmpl w:val="304E79C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1AC"/>
    <w:rsid w:val="002B51AC"/>
    <w:rsid w:val="00B0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A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2B51A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51AC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customStyle="1" w:styleId="Contenidodelatabla">
    <w:name w:val="Contenido de la tabla"/>
    <w:basedOn w:val="Normal"/>
    <w:rsid w:val="002B51A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1</cp:revision>
  <dcterms:created xsi:type="dcterms:W3CDTF">2017-12-14T08:25:00Z</dcterms:created>
  <dcterms:modified xsi:type="dcterms:W3CDTF">2017-12-14T08:28:00Z</dcterms:modified>
</cp:coreProperties>
</file>