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4"/>
        <w:spacing w:before="200" w:after="0"/>
        <w:rPr>
          <w:sz w:val="32"/>
          <w:lang w:eastAsia="es-ES"/>
        </w:rPr>
      </w:pPr>
      <w:r>
        <w:rPr>
          <w:sz w:val="32"/>
          <w:lang w:eastAsia="es-ES"/>
        </w:rPr>
        <w:t>ESTRUCTURA DE UNA TAREA</w:t>
      </w:r>
    </w:p>
    <w:p>
      <w:pPr>
        <w:pStyle w:val="Normal"/>
        <w:spacing w:before="0"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>
        <w:rPr>
          <w:rFonts w:cs="Times New Roman" w:ascii="Calibri" w:hAnsi="Calibri"/>
          <w:sz w:val="22"/>
          <w:szCs w:val="22"/>
          <w:lang w:eastAsia="es-ES"/>
        </w:rPr>
      </w:r>
    </w:p>
    <w:tbl>
      <w:tblPr>
        <w:tblStyle w:val="Tablaconcuadrcula"/>
        <w:tblW w:w="15315" w:type="dxa"/>
        <w:jc w:val="left"/>
        <w:tblInd w:w="8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65"/>
        <w:gridCol w:w="2460"/>
        <w:gridCol w:w="390"/>
        <w:gridCol w:w="1095"/>
        <w:gridCol w:w="735"/>
        <w:gridCol w:w="570"/>
        <w:gridCol w:w="2175"/>
        <w:gridCol w:w="420"/>
        <w:gridCol w:w="2745"/>
        <w:gridCol w:w="1995"/>
        <w:gridCol w:w="1965"/>
      </w:tblGrid>
      <w:tr>
        <w:trPr>
          <w:trHeight w:val="567" w:hRule="atLeast"/>
        </w:trPr>
        <w:tc>
          <w:tcPr>
            <w:tcW w:w="7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color w:val="000000"/>
                <w:lang w:eastAsia="es-ES"/>
              </w:rPr>
              <w:t xml:space="preserve">MATERIA: </w:t>
            </w:r>
          </w:p>
        </w:tc>
        <w:tc>
          <w:tcPr>
            <w:tcW w:w="24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b/>
                <w:b/>
                <w:bCs/>
                <w:color w:val="000000"/>
                <w:lang w:eastAsia="es-ES"/>
              </w:rPr>
            </w:pPr>
            <w:r>
              <w:rPr>
                <w:rFonts w:cs="Calibri" w:cstheme="majorHAnsi" w:ascii="Calibri" w:hAnsi="Calibri"/>
                <w:b/>
                <w:bCs/>
                <w:color w:val="000000"/>
                <w:lang w:eastAsia="es-ES"/>
              </w:rPr>
              <w:t>Matemáticas Aplicadas</w:t>
            </w:r>
          </w:p>
        </w:tc>
        <w:tc>
          <w:tcPr>
            <w:tcW w:w="148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color w:val="000000"/>
                <w:lang w:eastAsia="es-ES"/>
              </w:rPr>
              <w:t>CURSO:</w:t>
            </w:r>
          </w:p>
        </w:tc>
        <w:tc>
          <w:tcPr>
            <w:tcW w:w="735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b/>
                <w:b/>
                <w:bCs/>
                <w:color w:val="000000"/>
                <w:lang w:eastAsia="es-ES"/>
              </w:rPr>
            </w:pPr>
            <w:r>
              <w:rPr>
                <w:rFonts w:cs="Calibri" w:cstheme="majorHAnsi" w:ascii="Calibri" w:hAnsi="Calibri"/>
                <w:b/>
                <w:bCs/>
                <w:color w:val="000000"/>
                <w:lang w:eastAsia="es-ES"/>
              </w:rPr>
              <w:t>4º</w:t>
            </w:r>
          </w:p>
        </w:tc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b/>
                <w:b/>
                <w:bCs/>
                <w:color w:val="000000"/>
                <w:lang w:eastAsia="es-ES"/>
              </w:rPr>
            </w:pPr>
            <w:r>
              <w:rPr>
                <w:rFonts w:cs="Calibri" w:cstheme="majorHAnsi" w:ascii="Calibri" w:hAnsi="Calibri"/>
                <w:b/>
                <w:bCs/>
                <w:color w:val="000000"/>
                <w:lang w:eastAsia="es-ES"/>
              </w:rPr>
            </w:r>
          </w:p>
        </w:tc>
        <w:tc>
          <w:tcPr>
            <w:tcW w:w="259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color w:val="000000"/>
                <w:lang w:eastAsia="es-ES"/>
              </w:rPr>
              <w:t>NOMBRE DE LA TAREA:</w:t>
            </w:r>
          </w:p>
        </w:tc>
        <w:tc>
          <w:tcPr>
            <w:tcW w:w="670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b/>
                <w:b/>
                <w:bCs/>
                <w:color w:val="000000"/>
                <w:lang w:eastAsia="es-ES"/>
              </w:rPr>
            </w:pPr>
            <w:r>
              <w:rPr>
                <w:rFonts w:cs="Calibri" w:cstheme="majorHAnsi" w:ascii="Calibri" w:hAnsi="Calibri"/>
                <w:b/>
                <w:bCs/>
                <w:color w:val="000000"/>
                <w:lang w:eastAsia="es-ES"/>
              </w:rPr>
              <w:t>La estadística en Nuestra vida diaria.</w:t>
            </w:r>
          </w:p>
        </w:tc>
      </w:tr>
      <w:tr>
        <w:trPr>
          <w:trHeight w:val="1144" w:hRule="atLeast"/>
        </w:trPr>
        <w:tc>
          <w:tcPr>
            <w:tcW w:w="15315" w:type="dxa"/>
            <w:gridSpan w:val="11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Calibri" w:ascii="Calibri" w:hAnsi="Calibri" w:asciiTheme="majorHAnsi" w:cstheme="majorHAnsi" w:hAnsiTheme="majorHAnsi"/>
                <w:b/>
                <w:bCs/>
                <w:color w:val="000000"/>
                <w:lang w:eastAsia="es-ES"/>
              </w:rPr>
              <w:t>DESCRIPCIÓN DE LA TAREA:</w:t>
            </w:r>
            <w:r>
              <w:rPr>
                <w:rFonts w:cs="Calibri" w:ascii="PT Sans;sans-serif" w:hAnsi="PT Sans;sans-serif" w:cstheme="majorHAnsi"/>
                <w:b w:val="false"/>
                <w:bCs/>
                <w:i w:val="false"/>
                <w:caps w:val="false"/>
                <w:smallCaps w:val="false"/>
                <w:color w:val="444444"/>
                <w:spacing w:val="0"/>
                <w:sz w:val="21"/>
                <w:lang w:eastAsia="es-ES"/>
              </w:rPr>
              <w:t>En la vida real y en el ambiente en que diariamente nos desenvolvemos se utilizan con extraordinaria frecuencia expresiones tales como </w:t>
            </w:r>
            <w:r>
              <w:rPr>
                <w:rStyle w:val="Destacado"/>
                <w:rFonts w:cs="Calibri" w:ascii="PT Sans;sans-serif" w:hAnsi="PT Sans;sans-serif" w:cstheme="majorHAnsi"/>
                <w:b w:val="false"/>
                <w:bCs/>
                <w:color w:val="444444"/>
                <w:spacing w:val="0"/>
                <w:sz w:val="21"/>
                <w:lang w:eastAsia="es-ES"/>
              </w:rPr>
              <w:t>nota media, edad media de una población…, precio  medio de venta de un determinado producto, temperatura media, etc., etc; </w:t>
            </w:r>
            <w:r>
              <w:rPr>
                <w:rFonts w:cs="Calibri" w:ascii="PT Sans;sans-serif" w:hAnsi="PT Sans;sans-serif" w:cstheme="majorHAnsi"/>
                <w:b w:val="false"/>
                <w:bCs/>
                <w:i w:val="false"/>
                <w:caps w:val="false"/>
                <w:smallCaps w:val="false"/>
                <w:color w:val="444444"/>
                <w:spacing w:val="0"/>
                <w:sz w:val="21"/>
                <w:lang w:eastAsia="es-ES"/>
              </w:rPr>
              <w:t>por lo que esta tarea pretende que el alumnado la ESO conozca y ponga en práctica las aportaciones de la estadística en lo que se refiere a las medidas de tendencia central; y, sobre todo, que a través de estas aportaciones puedan llegar a la solución de sencillos problemas de su vida real y a una mejor interpretación y crítica de los datos que a diario se nos ofrecen por parte de los medios de comunicación de masas y de otras fuentes de información. </w:t>
            </w:r>
            <w:bookmarkStart w:id="0" w:name="_GoBack"/>
            <w:bookmarkEnd w:id="0"/>
            <w:r>
              <w:rPr>
                <w:rFonts w:cs="Calibri" w:ascii="Calibri" w:hAnsi="Calibri" w:asciiTheme="majorHAnsi" w:cstheme="majorHAnsi" w:hAnsiTheme="majorHAnsi"/>
                <w:b/>
                <w:bCs/>
                <w:color w:val="000000"/>
                <w:lang w:eastAsia="es-ES"/>
              </w:rPr>
              <w:t xml:space="preserve"> </w:t>
            </w:r>
          </w:p>
        </w:tc>
      </w:tr>
      <w:tr>
        <w:trPr/>
        <w:tc>
          <w:tcPr>
            <w:tcW w:w="3615" w:type="dxa"/>
            <w:gridSpan w:val="3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cs="Calibri" w:ascii="Calibri" w:hAnsi="Calibri" w:asciiTheme="majorHAnsi" w:cstheme="majorHAnsi" w:hAnsiTheme="majorHAnsi"/>
                <w:b/>
                <w:color w:val="000000"/>
                <w:lang w:eastAsia="es-ES"/>
              </w:rPr>
              <w:t>Actividad</w:t>
            </w:r>
            <w:r>
              <w:rPr>
                <w:rFonts w:cs="Calibri" w:ascii="Calibri" w:hAnsi="Calibri" w:asciiTheme="majorHAnsi" w:cstheme="majorHAnsi" w:hAnsiTheme="majorHAnsi"/>
                <w:b/>
                <w:color w:val="000000"/>
                <w:lang w:eastAsia="es-ES"/>
              </w:rPr>
              <w:t>es</w:t>
            </w:r>
          </w:p>
        </w:tc>
        <w:tc>
          <w:tcPr>
            <w:tcW w:w="457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Ejercicios</w:t>
            </w:r>
          </w:p>
        </w:tc>
        <w:tc>
          <w:tcPr>
            <w:tcW w:w="31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cs="Calibri" w:ascii="Calibri" w:hAnsi="Calibri" w:asciiTheme="majorHAnsi" w:cstheme="majorHAnsi" w:hAnsiTheme="majorHAnsi"/>
                <w:b/>
                <w:color w:val="000000"/>
                <w:lang w:eastAsia="es-ES"/>
              </w:rPr>
              <w:t>Estrategia metodológica</w:t>
            </w:r>
          </w:p>
        </w:tc>
        <w:tc>
          <w:tcPr>
            <w:tcW w:w="19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cs="Calibri" w:ascii="Calibri" w:hAnsi="Calibri" w:asciiTheme="majorHAnsi" w:cstheme="majorHAnsi" w:hAnsiTheme="majorHAnsi"/>
                <w:b/>
                <w:color w:val="000000"/>
                <w:lang w:eastAsia="es-ES"/>
              </w:rPr>
              <w:t>Procesos cognitivos</w:t>
            </w:r>
          </w:p>
        </w:tc>
        <w:tc>
          <w:tcPr>
            <w:tcW w:w="19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cs="Calibri" w:ascii="Calibri" w:hAnsi="Calibri" w:asciiTheme="majorHAnsi" w:cstheme="majorHAnsi" w:hAnsiTheme="majorHAnsi"/>
                <w:b/>
                <w:color w:val="000000"/>
                <w:lang w:eastAsia="es-ES"/>
              </w:rPr>
              <w:t>Escenario y Contextos</w:t>
            </w:r>
          </w:p>
        </w:tc>
      </w:tr>
      <w:tr>
        <w:trPr>
          <w:trHeight w:val="1134" w:hRule="atLeast"/>
        </w:trPr>
        <w:tc>
          <w:tcPr>
            <w:tcW w:w="3615" w:type="dxa"/>
            <w:gridSpan w:val="3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PT Sans;sans-serif" w:hAnsi="PT Sans;sans-serif"/>
                <w:b w:val="false"/>
                <w:i w:val="false"/>
                <w:caps w:val="false"/>
                <w:smallCaps w:val="false"/>
                <w:color w:val="444444"/>
                <w:spacing w:val="0"/>
                <w:sz w:val="21"/>
                <w:lang w:eastAsia="es-ES"/>
              </w:rPr>
              <w:t>1. Primer encuentro con la explicación de contenidos: conversación para exploración de conocimientos previos del alumnado, primera aproximación a la explicación del tema, y diálogo en común sobre los contenidos explicados</w:t>
            </w:r>
            <w:r>
              <w:rPr>
                <w:rFonts w:cs="Calibri" w:cstheme="majorHAnsi" w:ascii="Calibri" w:hAnsi="Calibri"/>
                <w:lang w:eastAsia="es-ES"/>
              </w:rPr>
              <w:t xml:space="preserve"> </w:t>
            </w:r>
          </w:p>
        </w:tc>
        <w:tc>
          <w:tcPr>
            <w:tcW w:w="457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left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PT Sans;sans-serif" w:hAnsi="PT Sans;sans-serif"/>
                <w:b w:val="false"/>
                <w:i w:val="false"/>
                <w:caps w:val="false"/>
                <w:smallCaps w:val="false"/>
                <w:color w:val="444444"/>
                <w:spacing w:val="0"/>
                <w:sz w:val="21"/>
                <w:lang w:eastAsia="es-ES"/>
              </w:rPr>
              <w:t>-</w:t>
            </w:r>
            <w:r>
              <w:rPr>
                <w:rFonts w:cs="Calibri" w:cstheme="majorHAnsi" w:ascii="PT Sans;sans-serif" w:hAnsi="PT Sans;sans-serif"/>
                <w:b w:val="false"/>
                <w:i w:val="false"/>
                <w:caps w:val="false"/>
                <w:smallCaps w:val="false"/>
                <w:color w:val="444444"/>
                <w:spacing w:val="0"/>
                <w:sz w:val="21"/>
                <w:lang w:eastAsia="es-ES"/>
              </w:rPr>
              <w:t>Conversación semidirigida</w:t>
            </w:r>
            <w:r>
              <w:rPr>
                <w:rFonts w:cs="Calibri" w:cstheme="majorHAnsi" w:ascii="Calibri" w:hAnsi="Calibri"/>
                <w:lang w:eastAsia="es-ES"/>
              </w:rPr>
              <w:br/>
            </w:r>
            <w:r>
              <w:rPr>
                <w:rFonts w:cs="Calibri" w:cstheme="majorHAnsi" w:ascii="PT Sans;sans-serif" w:hAnsi="PT Sans;sans-serif"/>
                <w:b w:val="false"/>
                <w:i w:val="false"/>
                <w:caps w:val="false"/>
                <w:smallCaps w:val="false"/>
                <w:color w:val="444444"/>
                <w:spacing w:val="0"/>
                <w:sz w:val="21"/>
                <w:lang w:eastAsia="es-ES"/>
              </w:rPr>
              <w:t>- Lluvia de ideas sobre los conocimientos previos sobre el tema.</w:t>
            </w:r>
          </w:p>
          <w:p>
            <w:pPr>
              <w:pStyle w:val="Normal"/>
              <w:spacing w:before="0" w:after="0"/>
              <w:contextualSpacing/>
              <w:jc w:val="left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PT Sans;sans-serif" w:hAnsi="PT Sans;sans-serif"/>
                <w:b w:val="false"/>
                <w:i w:val="false"/>
                <w:caps w:val="false"/>
                <w:smallCaps w:val="false"/>
                <w:color w:val="444444"/>
                <w:spacing w:val="0"/>
                <w:sz w:val="21"/>
                <w:lang w:eastAsia="es-ES"/>
              </w:rPr>
              <w:t xml:space="preserve">- Diálogo en grupo </w:t>
            </w:r>
          </w:p>
        </w:tc>
        <w:tc>
          <w:tcPr>
            <w:tcW w:w="31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left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  <w:t>Exposición teórica.</w:t>
            </w:r>
          </w:p>
          <w:p>
            <w:pPr>
              <w:pStyle w:val="Normal"/>
              <w:spacing w:before="0" w:after="0"/>
              <w:contextualSpacing/>
              <w:jc w:val="left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  <w:t>Debate.</w:t>
            </w:r>
            <w:r>
              <w:rPr>
                <w:rFonts w:cs="Calibri" w:cstheme="majorHAnsi" w:ascii="Calibri" w:hAnsi="Calibri"/>
                <w:lang w:eastAsia="es-ES"/>
              </w:rPr>
              <w:br/>
            </w:r>
          </w:p>
        </w:tc>
        <w:tc>
          <w:tcPr>
            <w:tcW w:w="19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left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  <w:t xml:space="preserve">Escuchar </w:t>
            </w:r>
          </w:p>
          <w:p>
            <w:pPr>
              <w:pStyle w:val="Normal"/>
              <w:spacing w:before="0" w:after="0"/>
              <w:contextualSpacing/>
              <w:jc w:val="left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  <w:t>comprender.</w:t>
            </w:r>
          </w:p>
          <w:p>
            <w:pPr>
              <w:pStyle w:val="Normal"/>
              <w:spacing w:before="0" w:after="0"/>
              <w:contextualSpacing/>
              <w:jc w:val="left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  <w:t>Sintetizar.</w:t>
            </w:r>
          </w:p>
          <w:p>
            <w:pPr>
              <w:pStyle w:val="Normal"/>
              <w:spacing w:before="0" w:after="0"/>
              <w:contextualSpacing/>
              <w:jc w:val="left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  <w:t>Debatir.</w:t>
            </w:r>
          </w:p>
          <w:p>
            <w:pPr>
              <w:pStyle w:val="Normal"/>
              <w:spacing w:before="0" w:after="0"/>
              <w:contextualSpacing/>
              <w:jc w:val="left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</w:r>
          </w:p>
        </w:tc>
        <w:tc>
          <w:tcPr>
            <w:tcW w:w="19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  <w:t xml:space="preserve">Aula. 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  <w:t>(</w:t>
            </w:r>
            <w:r>
              <w:rPr>
                <w:rFonts w:cs="Calibri" w:cstheme="majorHAnsi" w:ascii="Calibri" w:hAnsi="Calibri"/>
                <w:lang w:eastAsia="es-ES"/>
              </w:rPr>
              <w:t>Individual</w:t>
            </w:r>
            <w:r>
              <w:rPr>
                <w:rFonts w:cs="Calibri" w:cstheme="majorHAnsi" w:ascii="Calibri" w:hAnsi="Calibri"/>
                <w:lang w:eastAsia="es-ES"/>
              </w:rPr>
              <w:t>)</w:t>
            </w:r>
          </w:p>
        </w:tc>
      </w:tr>
      <w:tr>
        <w:trPr>
          <w:trHeight w:val="1134" w:hRule="atLeast"/>
        </w:trPr>
        <w:tc>
          <w:tcPr>
            <w:tcW w:w="3615" w:type="dxa"/>
            <w:gridSpan w:val="3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caps w:val="false"/>
                <w:smallCaps w:val="false"/>
                <w:color w:val="444444"/>
                <w:spacing w:val="0"/>
                <w:lang w:eastAsia="es-ES"/>
              </w:rPr>
              <w:t xml:space="preserve">2. </w:t>
            </w:r>
            <w:r>
              <w:rPr>
                <w:rFonts w:cs="Calibri" w:cstheme="majorHAnsi" w:ascii="PT Sans;sans-serif" w:hAnsi="PT Sans;sans-serif"/>
                <w:b w:val="false"/>
                <w:i w:val="false"/>
                <w:caps w:val="false"/>
                <w:smallCaps w:val="false"/>
                <w:color w:val="444444"/>
                <w:spacing w:val="0"/>
                <w:sz w:val="21"/>
                <w:lang w:eastAsia="es-ES"/>
              </w:rPr>
              <w:t>Reunidos en pequeños grupos, organizar los datos ofrecidos por el profesor sobre las notas de Matematicas obtenidas por el alumnado de la clase en la evaluación inicial, calcular sus frecuencias y hacer una representación gráfica de los datos proporcionados</w:t>
            </w:r>
            <w:r>
              <w:rPr>
                <w:rFonts w:cs="Calibri" w:cstheme="majorHAnsi" w:ascii="Calibri" w:hAnsi="Calibri"/>
                <w:lang w:eastAsia="es-ES"/>
              </w:rPr>
              <w:t xml:space="preserve"> </w:t>
            </w:r>
          </w:p>
        </w:tc>
        <w:tc>
          <w:tcPr>
            <w:tcW w:w="457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left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caps w:val="false"/>
                <w:smallCaps w:val="false"/>
                <w:color w:val="444444"/>
                <w:spacing w:val="0"/>
                <w:lang w:eastAsia="es-ES"/>
              </w:rPr>
              <w:t>-</w:t>
            </w:r>
            <w:r>
              <w:rPr>
                <w:rFonts w:cs="Calibri" w:cstheme="majorHAnsi" w:ascii="PT Sans;sans-serif" w:hAnsi="PT Sans;sans-serif"/>
                <w:b w:val="false"/>
                <w:i w:val="false"/>
                <w:caps w:val="false"/>
                <w:smallCaps w:val="false"/>
                <w:color w:val="444444"/>
                <w:spacing w:val="0"/>
                <w:sz w:val="21"/>
                <w:lang w:eastAsia="es-ES"/>
              </w:rPr>
              <w:t>Organizar datos estadísticos</w:t>
            </w:r>
            <w:r>
              <w:rPr>
                <w:rFonts w:cs="Calibri" w:cstheme="majorHAnsi" w:ascii="Calibri" w:hAnsi="Calibri"/>
                <w:lang w:eastAsia="es-ES"/>
              </w:rPr>
              <w:br/>
            </w:r>
            <w:r>
              <w:rPr>
                <w:rFonts w:cs="Calibri" w:cstheme="majorHAnsi" w:ascii="PT Sans;sans-serif" w:hAnsi="PT Sans;sans-serif"/>
                <w:b w:val="false"/>
                <w:i w:val="false"/>
                <w:caps w:val="false"/>
                <w:smallCaps w:val="false"/>
                <w:color w:val="444444"/>
                <w:spacing w:val="0"/>
                <w:sz w:val="21"/>
                <w:lang w:eastAsia="es-ES"/>
              </w:rPr>
              <w:t>-Calcular frecuencias sobr</w:t>
            </w:r>
            <w:r>
              <w:rPr>
                <w:rFonts w:cs="Calibri" w:cstheme="majorHAnsi" w:ascii="PT Sans;sans-serif" w:hAnsi="PT Sans;sans-serif"/>
                <w:b w:val="false"/>
                <w:i w:val="false"/>
                <w:caps w:val="false"/>
                <w:smallCaps w:val="false"/>
                <w:color w:val="444444"/>
                <w:spacing w:val="0"/>
                <w:sz w:val="21"/>
                <w:lang w:eastAsia="es-ES"/>
              </w:rPr>
              <w:t>e</w:t>
            </w:r>
            <w:r>
              <w:rPr>
                <w:rFonts w:cs="Calibri" w:cstheme="majorHAnsi" w:ascii="PT Sans;sans-serif" w:hAnsi="PT Sans;sans-serif"/>
                <w:b w:val="false"/>
                <w:i w:val="false"/>
                <w:caps w:val="false"/>
                <w:smallCaps w:val="false"/>
                <w:color w:val="444444"/>
                <w:spacing w:val="0"/>
                <w:sz w:val="21"/>
                <w:lang w:eastAsia="es-ES"/>
              </w:rPr>
              <w:t xml:space="preserve"> datos ofrecidos.</w:t>
            </w:r>
            <w:r>
              <w:rPr>
                <w:rFonts w:cs="Calibri" w:cstheme="majorHAnsi" w:ascii="Calibri" w:hAnsi="Calibri"/>
                <w:lang w:eastAsia="es-ES"/>
              </w:rPr>
              <w:br/>
            </w:r>
            <w:r>
              <w:rPr>
                <w:rFonts w:cs="Calibri" w:cstheme="majorHAnsi" w:ascii="PT Sans;sans-serif" w:hAnsi="PT Sans;sans-serif"/>
                <w:b w:val="false"/>
                <w:i w:val="false"/>
                <w:caps w:val="false"/>
                <w:smallCaps w:val="false"/>
                <w:color w:val="444444"/>
                <w:spacing w:val="0"/>
                <w:sz w:val="21"/>
                <w:lang w:eastAsia="es-ES"/>
              </w:rPr>
              <w:t>- Representación gráfica de datos estadísticos.</w:t>
            </w:r>
          </w:p>
        </w:tc>
        <w:tc>
          <w:tcPr>
            <w:tcW w:w="31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  <w:t>Aprendizaje cooperativo.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  <w:t>Ensayo y error.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  <w:t>Exposición del profesor.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</w:r>
          </w:p>
        </w:tc>
        <w:tc>
          <w:tcPr>
            <w:tcW w:w="19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  <w:t>Analizar.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  <w:t>Escuchar.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  <w:t>Comprender.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  <w:t>Calcular.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</w:r>
          </w:p>
        </w:tc>
        <w:tc>
          <w:tcPr>
            <w:tcW w:w="19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  <w:t>Aula.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  <w:t>(</w:t>
            </w:r>
            <w:r>
              <w:rPr>
                <w:rFonts w:cs="Calibri" w:cstheme="majorHAnsi" w:ascii="Calibri" w:hAnsi="Calibri"/>
                <w:lang w:eastAsia="es-ES"/>
              </w:rPr>
              <w:t>Pequeño grupo en clase</w:t>
            </w:r>
            <w:r>
              <w:rPr>
                <w:rFonts w:cs="Calibri" w:cstheme="majorHAnsi" w:ascii="Calibri" w:hAnsi="Calibri"/>
                <w:lang w:eastAsia="es-ES"/>
              </w:rPr>
              <w:t>)</w:t>
            </w:r>
          </w:p>
        </w:tc>
      </w:tr>
      <w:tr>
        <w:trPr>
          <w:trHeight w:val="1134" w:hRule="atLeast"/>
        </w:trPr>
        <w:tc>
          <w:tcPr>
            <w:tcW w:w="3615" w:type="dxa"/>
            <w:gridSpan w:val="3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PT Sans;sans-serif" w:hAnsi="PT Sans;sans-serif"/>
                <w:b w:val="false"/>
                <w:i w:val="false"/>
                <w:caps w:val="false"/>
                <w:smallCaps w:val="false"/>
                <w:color w:val="444444"/>
                <w:spacing w:val="0"/>
                <w:sz w:val="21"/>
                <w:lang w:eastAsia="es-ES"/>
              </w:rPr>
              <w:t>3. Calculad la media aritmética, la mediana y la moda de la estatura de los alumnos y alumnas de la clase.</w:t>
            </w:r>
            <w:r>
              <w:rPr>
                <w:rFonts w:cs="Calibri" w:cstheme="majorHAnsi" w:ascii="Calibri" w:hAnsi="Calibri"/>
                <w:lang w:eastAsia="es-ES"/>
              </w:rPr>
              <w:br/>
            </w:r>
          </w:p>
        </w:tc>
        <w:tc>
          <w:tcPr>
            <w:tcW w:w="457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left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PT Sans;sans-serif" w:hAnsi="PT Sans;sans-serif"/>
                <w:b w:val="false"/>
                <w:i w:val="false"/>
                <w:caps w:val="false"/>
                <w:smallCaps w:val="false"/>
                <w:color w:val="444444"/>
                <w:spacing w:val="0"/>
                <w:sz w:val="21"/>
                <w:lang w:eastAsia="es-ES"/>
              </w:rPr>
              <w:t>-</w:t>
            </w:r>
            <w:r>
              <w:rPr>
                <w:rFonts w:cs="Calibri" w:cstheme="majorHAnsi" w:ascii="PT Sans;sans-serif" w:hAnsi="PT Sans;sans-serif"/>
                <w:b w:val="false"/>
                <w:i w:val="false"/>
                <w:caps w:val="false"/>
                <w:smallCaps w:val="false"/>
                <w:color w:val="444444"/>
                <w:spacing w:val="0"/>
                <w:sz w:val="21"/>
                <w:lang w:eastAsia="es-ES"/>
              </w:rPr>
              <w:t>Tomar medidas sobre talla.</w:t>
            </w:r>
            <w:r>
              <w:rPr>
                <w:rFonts w:cs="Calibri" w:cstheme="majorHAnsi" w:ascii="Calibri" w:hAnsi="Calibri"/>
                <w:lang w:eastAsia="es-ES"/>
              </w:rPr>
              <w:br/>
            </w:r>
            <w:r>
              <w:rPr>
                <w:rFonts w:cs="Calibri" w:cstheme="majorHAnsi" w:ascii="PT Sans;sans-serif" w:hAnsi="PT Sans;sans-serif"/>
                <w:b w:val="false"/>
                <w:i w:val="false"/>
                <w:caps w:val="false"/>
                <w:smallCaps w:val="false"/>
                <w:color w:val="444444"/>
                <w:spacing w:val="0"/>
                <w:sz w:val="21"/>
                <w:lang w:eastAsia="es-ES"/>
              </w:rPr>
              <w:t>- Hallar medidas de tendencia central (media, mediana y moda</w:t>
            </w:r>
            <w:r>
              <w:rPr>
                <w:rFonts w:cs="Calibri" w:cstheme="majorHAnsi" w:ascii="Calibri" w:hAnsi="Calibri"/>
                <w:lang w:eastAsia="es-ES"/>
              </w:rPr>
              <w:br/>
            </w:r>
            <w:r>
              <w:rPr>
                <w:rFonts w:cs="Calibri" w:cstheme="majorHAnsi" w:ascii="PT Sans;sans-serif" w:hAnsi="PT Sans;sans-serif"/>
                <w:b w:val="false"/>
                <w:i w:val="false"/>
                <w:caps w:val="false"/>
                <w:smallCaps w:val="false"/>
                <w:color w:val="444444"/>
                <w:spacing w:val="0"/>
                <w:sz w:val="21"/>
                <w:lang w:eastAsia="es-ES"/>
              </w:rPr>
              <w:t>- Utilizar la calculadora</w:t>
            </w:r>
            <w:r>
              <w:rPr>
                <w:rFonts w:cs="Calibri" w:cstheme="majorHAnsi" w:ascii="Calibri" w:hAnsi="Calibri"/>
                <w:lang w:eastAsia="es-ES"/>
              </w:rPr>
              <w:t xml:space="preserve"> </w:t>
            </w:r>
          </w:p>
        </w:tc>
        <w:tc>
          <w:tcPr>
            <w:tcW w:w="31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  <w:t>Aprendizaje colaborativo.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  <w:t>Ensayo y error.</w:t>
            </w:r>
          </w:p>
        </w:tc>
        <w:tc>
          <w:tcPr>
            <w:tcW w:w="19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  <w:t>Medir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  <w:t>Analizar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  <w:t>Resolver</w:t>
            </w:r>
          </w:p>
        </w:tc>
        <w:tc>
          <w:tcPr>
            <w:tcW w:w="19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  <w:t>Aula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  <w:t>(pequeño grupo)</w:t>
            </w:r>
          </w:p>
        </w:tc>
      </w:tr>
      <w:tr>
        <w:trPr>
          <w:trHeight w:val="1134" w:hRule="atLeast"/>
        </w:trPr>
        <w:tc>
          <w:tcPr>
            <w:tcW w:w="3615" w:type="dxa"/>
            <w:gridSpan w:val="3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PT Sans;sans-serif" w:hAnsi="PT Sans;sans-serif"/>
                <w:b w:val="false"/>
                <w:i w:val="false"/>
                <w:caps w:val="false"/>
                <w:smallCaps w:val="false"/>
                <w:color w:val="444444"/>
                <w:spacing w:val="0"/>
                <w:sz w:val="21"/>
                <w:lang w:eastAsia="es-ES"/>
              </w:rPr>
              <w:t>4. Emplear el concepto de media aritmética referida a los precios de un determinado producto (pan, carne, tomates….), calculado sobre la realidad de los mercados de nuestro barrio.</w:t>
            </w:r>
            <w:r>
              <w:rPr>
                <w:rFonts w:cs="Calibri" w:cstheme="majorHAnsi" w:ascii="Calibri" w:hAnsi="Calibri"/>
                <w:lang w:eastAsia="es-ES"/>
              </w:rPr>
              <w:br/>
            </w:r>
          </w:p>
        </w:tc>
        <w:tc>
          <w:tcPr>
            <w:tcW w:w="457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left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PT Sans;sans-serif" w:hAnsi="PT Sans;sans-serif"/>
                <w:b w:val="false"/>
                <w:i w:val="false"/>
                <w:caps w:val="false"/>
                <w:smallCaps w:val="false"/>
                <w:color w:val="444444"/>
                <w:spacing w:val="0"/>
                <w:sz w:val="21"/>
                <w:lang w:eastAsia="es-ES"/>
              </w:rPr>
              <w:t>-</w:t>
            </w:r>
            <w:r>
              <w:rPr>
                <w:rFonts w:cs="Calibri" w:cstheme="majorHAnsi" w:ascii="PT Sans;sans-serif" w:hAnsi="PT Sans;sans-serif"/>
                <w:b w:val="false"/>
                <w:i w:val="false"/>
                <w:caps w:val="false"/>
                <w:smallCaps w:val="false"/>
                <w:color w:val="444444"/>
                <w:spacing w:val="0"/>
                <w:sz w:val="21"/>
                <w:lang w:eastAsia="es-ES"/>
              </w:rPr>
              <w:t>Visita a tiendas y mercados</w:t>
            </w:r>
            <w:r>
              <w:rPr>
                <w:rFonts w:cs="Calibri" w:cstheme="majorHAnsi" w:ascii="Calibri" w:hAnsi="Calibri"/>
                <w:lang w:eastAsia="es-ES"/>
              </w:rPr>
              <w:br/>
            </w:r>
            <w:r>
              <w:rPr>
                <w:rFonts w:cs="Calibri" w:cstheme="majorHAnsi" w:ascii="PT Sans;sans-serif" w:hAnsi="PT Sans;sans-serif"/>
                <w:b w:val="false"/>
                <w:i w:val="false"/>
                <w:caps w:val="false"/>
                <w:smallCaps w:val="false"/>
                <w:color w:val="444444"/>
                <w:spacing w:val="0"/>
                <w:sz w:val="21"/>
                <w:lang w:eastAsia="es-ES"/>
              </w:rPr>
              <w:t>-Resolver problemas estadísticos sobre cálculo de medias.</w:t>
            </w:r>
            <w:r>
              <w:rPr>
                <w:rFonts w:cs="Calibri" w:cstheme="majorHAnsi" w:ascii="Calibri" w:hAnsi="Calibri"/>
                <w:lang w:eastAsia="es-ES"/>
              </w:rPr>
              <w:br/>
            </w:r>
            <w:r>
              <w:rPr>
                <w:rFonts w:cs="Calibri" w:cstheme="majorHAnsi" w:ascii="PT Sans;sans-serif" w:hAnsi="PT Sans;sans-serif"/>
                <w:b w:val="false"/>
                <w:i w:val="false"/>
                <w:caps w:val="false"/>
                <w:smallCaps w:val="false"/>
                <w:color w:val="444444"/>
                <w:spacing w:val="0"/>
                <w:sz w:val="21"/>
                <w:lang w:eastAsia="es-ES"/>
              </w:rPr>
              <w:t>-</w:t>
            </w:r>
            <w:r>
              <w:rPr>
                <w:rFonts w:cs="Calibri" w:cstheme="majorHAnsi" w:ascii="PT Sans;sans-serif" w:hAnsi="PT Sans;sans-serif"/>
                <w:b w:val="false"/>
                <w:i w:val="false"/>
                <w:caps w:val="false"/>
                <w:smallCaps w:val="false"/>
                <w:color w:val="444444"/>
                <w:spacing w:val="0"/>
                <w:sz w:val="21"/>
                <w:lang w:eastAsia="es-ES"/>
              </w:rPr>
              <w:t>In</w:t>
            </w:r>
            <w:r>
              <w:rPr>
                <w:rFonts w:cs="Calibri" w:cstheme="majorHAnsi" w:ascii="PT Sans;sans-serif" w:hAnsi="PT Sans;sans-serif"/>
                <w:b w:val="false"/>
                <w:i w:val="false"/>
                <w:caps w:val="false"/>
                <w:smallCaps w:val="false"/>
                <w:color w:val="444444"/>
                <w:spacing w:val="0"/>
                <w:sz w:val="21"/>
                <w:lang w:eastAsia="es-ES"/>
              </w:rPr>
              <w:t>terpretar la solución de problemas estadísticos concretos.</w:t>
            </w:r>
            <w:r>
              <w:rPr>
                <w:rFonts w:cs="Calibri" w:cstheme="majorHAnsi" w:ascii="Calibri" w:hAnsi="Calibri"/>
                <w:lang w:eastAsia="es-ES"/>
              </w:rPr>
              <w:t xml:space="preserve"> </w:t>
            </w:r>
          </w:p>
        </w:tc>
        <w:tc>
          <w:tcPr>
            <w:tcW w:w="31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  <w:t>Aprendizaje significativo-aula invertida.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  <w:t>Estudio de casos.</w:t>
            </w:r>
          </w:p>
        </w:tc>
        <w:tc>
          <w:tcPr>
            <w:tcW w:w="19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  <w:t>Diseñar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  <w:t>Estructurar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  <w:t>Resolver.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  <w:t xml:space="preserve">Realizar </w:t>
            </w:r>
          </w:p>
        </w:tc>
        <w:tc>
          <w:tcPr>
            <w:tcW w:w="19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  <w:t>Social.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  <w:t xml:space="preserve">Hogar </w:t>
            </w:r>
            <w:r>
              <w:rPr>
                <w:rFonts w:cs="Calibri" w:cstheme="majorHAnsi" w:ascii="Calibri" w:hAnsi="Calibri"/>
                <w:lang w:eastAsia="es-ES"/>
              </w:rPr>
              <w:t>y barrio.</w:t>
            </w:r>
          </w:p>
        </w:tc>
      </w:tr>
      <w:tr>
        <w:trPr>
          <w:trHeight w:val="1134" w:hRule="atLeast"/>
        </w:trPr>
        <w:tc>
          <w:tcPr>
            <w:tcW w:w="3615" w:type="dxa"/>
            <w:gridSpan w:val="3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PT Sans;sans-serif" w:hAnsi="PT Sans;sans-serif"/>
                <w:b w:val="false"/>
                <w:i w:val="false"/>
                <w:caps w:val="false"/>
                <w:smallCaps w:val="false"/>
                <w:color w:val="444444"/>
                <w:spacing w:val="0"/>
                <w:sz w:val="21"/>
                <w:lang w:eastAsia="es-ES"/>
              </w:rPr>
              <w:t>5. Interpretación de gráficos estadísticos sencillos sobre la lluvia anual caída durante los dos últimos años en nuestra localidad.</w:t>
            </w:r>
            <w:r>
              <w:rPr>
                <w:rFonts w:cs="Calibri" w:cstheme="majorHAnsi" w:ascii="Calibri" w:hAnsi="Calibri"/>
                <w:lang w:eastAsia="es-ES"/>
              </w:rPr>
              <w:br/>
            </w:r>
          </w:p>
        </w:tc>
        <w:tc>
          <w:tcPr>
            <w:tcW w:w="4575" w:type="dxa"/>
            <w:gridSpan w:val="4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Cuerpodetexto"/>
              <w:spacing w:before="0" w:after="0"/>
              <w:contextualSpacing/>
              <w:jc w:val="left"/>
              <w:rPr>
                <w:rFonts w:ascii="PT Sans;sans-serif" w:hAnsi="PT Sans;sans-serif" w:cs="Calibri" w:cstheme="majorHAnsi"/>
                <w:b w:val="false"/>
                <w:i w:val="false"/>
                <w:caps w:val="false"/>
                <w:smallCaps w:val="false"/>
                <w:color w:val="444444"/>
                <w:spacing w:val="0"/>
                <w:sz w:val="21"/>
                <w:lang w:eastAsia="es-ES"/>
              </w:rPr>
            </w:pPr>
            <w:r>
              <w:rPr>
                <w:rFonts w:cs="Calibri" w:cstheme="majorHAnsi" w:ascii="PT Sans;sans-serif" w:hAnsi="PT Sans;sans-serif"/>
                <w:b w:val="false"/>
                <w:i w:val="false"/>
                <w:caps w:val="false"/>
                <w:smallCaps w:val="false"/>
                <w:color w:val="444444"/>
                <w:spacing w:val="0"/>
                <w:sz w:val="21"/>
                <w:lang w:eastAsia="es-ES"/>
              </w:rPr>
              <w:t>-Interpretar gráficos estadísticos referidos a distintas variables.</w:t>
            </w:r>
          </w:p>
          <w:p>
            <w:pPr>
              <w:pStyle w:val="Cuerpodetexto"/>
              <w:spacing w:lineRule="auto" w:line="288" w:before="0" w:after="140"/>
              <w:rPr/>
            </w:pPr>
            <w:r>
              <w:rPr/>
              <w:br/>
            </w:r>
          </w:p>
        </w:tc>
        <w:tc>
          <w:tcPr>
            <w:tcW w:w="3165" w:type="dxa"/>
            <w:gridSpan w:val="2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  <w:t>Estudio de casos.</w:t>
            </w:r>
          </w:p>
        </w:tc>
        <w:tc>
          <w:tcPr>
            <w:tcW w:w="199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  <w:t>Razonar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  <w:t>Comparar</w:t>
            </w:r>
          </w:p>
        </w:tc>
        <w:tc>
          <w:tcPr>
            <w:tcW w:w="196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  <w:t xml:space="preserve">Aula 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  <w:t>Entorno local.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Calibri" w:asciiTheme="majorHAnsi" w:cstheme="majorHAnsi" w:hAnsiTheme="majorHAnsi"/>
                <w:lang w:eastAsia="es-ES"/>
              </w:rPr>
            </w:pPr>
            <w:r>
              <w:rPr>
                <w:rFonts w:cs="Calibri" w:cstheme="majorHAnsi" w:ascii="Calibri" w:hAnsi="Calibri"/>
                <w:lang w:eastAsia="es-ES"/>
              </w:rPr>
            </w:r>
          </w:p>
        </w:tc>
      </w:tr>
    </w:tbl>
    <w:p>
      <w:pPr>
        <w:pStyle w:val="Normal"/>
        <w:spacing w:before="0" w:after="0"/>
        <w:contextualSpacing/>
        <w:jc w:val="both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PT Sans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 w:val="24"/>
        <w:szCs w:val="24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3050"/>
    <w:pPr>
      <w:widowControl/>
      <w:bidi w:val="0"/>
      <w:spacing w:before="0" w:after="200"/>
      <w:jc w:val="left"/>
    </w:pPr>
    <w:rPr>
      <w:rFonts w:ascii="Cambria" w:hAnsi="Cambria" w:eastAsia="" w:cs="" w:asciiTheme="minorHAnsi" w:cstheme="minorBidi" w:eastAsiaTheme="minorEastAsia" w:hAnsiTheme="minorHAnsi"/>
      <w:color w:val="auto"/>
      <w:sz w:val="24"/>
      <w:szCs w:val="24"/>
      <w:lang w:val="en-US" w:eastAsia="ja-JP" w:bidi="ar-SA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4Car" w:customStyle="1">
    <w:name w:val="Título 4 Car"/>
    <w:basedOn w:val="DefaultParagraphFont"/>
    <w:link w:val="Ttulo4"/>
    <w:uiPriority w:val="9"/>
    <w:qFormat/>
    <w:rsid w:val="00773050"/>
    <w:rPr>
      <w:rFonts w:ascii="Calibri" w:hAnsi="Calibri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14c6"/>
    <w:rPr>
      <w:rFonts w:ascii="Segoe UI" w:hAnsi="Segoe UI" w:cs="Segoe UI"/>
      <w:sz w:val="18"/>
      <w:szCs w:val="18"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14c6"/>
    <w:pPr>
      <w:spacing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0902ff"/>
    <w:pPr>
      <w:spacing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LibreOffice/5.3.3.2$Windows_x86 LibreOffice_project/3d9a8b4b4e538a85e0782bd6c2d430bafe583448</Application>
  <Pages>2</Pages>
  <Words>428</Words>
  <Characters>2483</Characters>
  <CharactersWithSpaces>2868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2018-03-07T12:22:00Z</dcterms:created>
  <dc:creator>SVP</dc:creator>
  <dc:description/>
  <dc:language>es-ES</dc:language>
  <cp:lastModifiedBy/>
  <cp:lastPrinted>2018-01-30T10:42:00Z</cp:lastPrinted>
  <dcterms:modified xsi:type="dcterms:W3CDTF">2018-05-31T12:46:29Z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