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532B5D" w:rsidRPr="00375A39" w:rsidTr="00BF4427">
        <w:tc>
          <w:tcPr>
            <w:tcW w:w="8644" w:type="dxa"/>
            <w:gridSpan w:val="2"/>
            <w:tcBorders>
              <w:bottom w:val="double" w:sz="4" w:space="0" w:color="auto"/>
            </w:tcBorders>
            <w:shd w:val="clear" w:color="auto" w:fill="FF9900"/>
          </w:tcPr>
          <w:p w:rsidR="00532B5D" w:rsidRPr="00375A39" w:rsidRDefault="00532B5D" w:rsidP="00BF4427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375A39">
              <w:rPr>
                <w:b/>
                <w:sz w:val="24"/>
                <w:szCs w:val="24"/>
              </w:rPr>
              <w:t xml:space="preserve">ASIGNATURA: </w:t>
            </w:r>
            <w:r w:rsidRPr="00375A39">
              <w:rPr>
                <w:sz w:val="24"/>
                <w:szCs w:val="24"/>
              </w:rPr>
              <w:t xml:space="preserve">CULTURA EMPRENDEDORA                                   </w:t>
            </w:r>
            <w:r w:rsidRPr="00375A39">
              <w:rPr>
                <w:b/>
                <w:sz w:val="24"/>
                <w:szCs w:val="24"/>
              </w:rPr>
              <w:t>CURSO:</w:t>
            </w:r>
            <w:r w:rsidRPr="00375A39">
              <w:rPr>
                <w:sz w:val="24"/>
                <w:szCs w:val="24"/>
              </w:rPr>
              <w:t xml:space="preserve"> 1º Bachillerato .</w:t>
            </w:r>
          </w:p>
        </w:tc>
      </w:tr>
      <w:tr w:rsidR="00532B5D" w:rsidRPr="00375A39" w:rsidTr="00BF4427">
        <w:tc>
          <w:tcPr>
            <w:tcW w:w="1951" w:type="dxa"/>
            <w:shd w:val="clear" w:color="auto" w:fill="FFCC66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right"/>
            </w:pPr>
            <w:r w:rsidRPr="00375A39">
              <w:t>INTRODUCCIÓN</w:t>
            </w:r>
          </w:p>
        </w:tc>
        <w:tc>
          <w:tcPr>
            <w:tcW w:w="6693" w:type="dxa"/>
            <w:tcBorders>
              <w:top w:val="double" w:sz="4" w:space="0" w:color="auto"/>
              <w:right w:val="double" w:sz="4" w:space="0" w:color="auto"/>
            </w:tcBorders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rPr>
                <w:color w:val="333333"/>
                <w:shd w:val="clear" w:color="auto" w:fill="FFFFFF"/>
              </w:rPr>
              <w:t xml:space="preserve">El enfoque que intentaremos dar a esta asignatura es el de </w:t>
            </w:r>
            <w:r w:rsidRPr="00375A39">
              <w:rPr>
                <w:b/>
                <w:color w:val="333333"/>
                <w:shd w:val="clear" w:color="auto" w:fill="FFFFFF"/>
              </w:rPr>
              <w:t>analizar la conexión del mundo del trabajo y de la empresa</w:t>
            </w:r>
            <w:r w:rsidRPr="00375A39">
              <w:rPr>
                <w:color w:val="333333"/>
                <w:shd w:val="clear" w:color="auto" w:fill="FFFFFF"/>
              </w:rPr>
              <w:t xml:space="preserve"> -con sus conflictos y conexiones- con problemáticas sociales actuales y relevantes. Para ello, nos detendremos en </w:t>
            </w:r>
            <w:r w:rsidRPr="00375A39">
              <w:rPr>
                <w:b/>
                <w:color w:val="333333"/>
                <w:shd w:val="clear" w:color="auto" w:fill="FFFFFF"/>
              </w:rPr>
              <w:t>estudios de caso</w:t>
            </w:r>
            <w:r w:rsidRPr="00375A39">
              <w:rPr>
                <w:color w:val="333333"/>
                <w:shd w:val="clear" w:color="auto" w:fill="FFFFFF"/>
              </w:rPr>
              <w:t xml:space="preserve"> y en el </w:t>
            </w:r>
            <w:r w:rsidRPr="00375A39">
              <w:rPr>
                <w:b/>
                <w:color w:val="333333"/>
                <w:shd w:val="clear" w:color="auto" w:fill="FFFFFF"/>
              </w:rPr>
              <w:t>trabajo por proyectos</w:t>
            </w:r>
            <w:r w:rsidRPr="00375A39">
              <w:rPr>
                <w:color w:val="333333"/>
                <w:shd w:val="clear" w:color="auto" w:fill="FFFFFF"/>
              </w:rPr>
              <w:t>. También fomentaremos los debates en torno a esas problemáticas, así como el uso de distintos tipos de recursos de investigación y aprendizaje.</w:t>
            </w:r>
          </w:p>
        </w:tc>
      </w:tr>
      <w:tr w:rsidR="00532B5D" w:rsidRPr="00375A39" w:rsidTr="00BF4427">
        <w:tc>
          <w:tcPr>
            <w:tcW w:w="8644" w:type="dxa"/>
            <w:gridSpan w:val="2"/>
            <w:shd w:val="clear" w:color="auto" w:fill="FFCC66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CONTENIDOS</w:t>
            </w:r>
          </w:p>
        </w:tc>
      </w:tr>
      <w:tr w:rsidR="00532B5D" w:rsidRPr="00375A39" w:rsidTr="00BF4427">
        <w:trPr>
          <w:trHeight w:val="69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Primer trimestre</w:t>
            </w:r>
          </w:p>
        </w:tc>
        <w:tc>
          <w:tcPr>
            <w:tcW w:w="6693" w:type="dxa"/>
          </w:tcPr>
          <w:p w:rsidR="00532B5D" w:rsidRPr="00375A39" w:rsidRDefault="00532B5D" w:rsidP="00BF4427">
            <w:pPr>
              <w:ind w:firstLine="0"/>
              <w:jc w:val="left"/>
            </w:pPr>
            <w:r w:rsidRPr="00375A39">
              <w:t xml:space="preserve">Unidad 1. </w:t>
            </w:r>
            <w:r w:rsidRPr="00375A39">
              <w:rPr>
                <w:color w:val="333333"/>
                <w:lang w:val="es-ES" w:eastAsia="es-ES"/>
              </w:rPr>
              <w:t>¿Qué es el "emprendimiento"? ¿Cómo y cuándo surge el concepto de "cultura emprendedora" ¿Existe una "cultura empresarial"? Emprendimiento social y cultural.</w:t>
            </w:r>
          </w:p>
        </w:tc>
      </w:tr>
      <w:tr w:rsidR="00532B5D" w:rsidRPr="00375A39" w:rsidTr="00BF4427">
        <w:trPr>
          <w:trHeight w:val="69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2. </w:t>
            </w:r>
            <w:r w:rsidRPr="00375A39">
              <w:rPr>
                <w:color w:val="333333"/>
                <w:shd w:val="clear" w:color="auto" w:fill="FFFFFF"/>
              </w:rPr>
              <w:t>Trabajo y empleo. ¿Empresarios, "emprendedores" o trabajadores? La paradoja del "autoempleo"</w:t>
            </w:r>
          </w:p>
        </w:tc>
      </w:tr>
      <w:tr w:rsidR="00532B5D" w:rsidRPr="00375A39" w:rsidTr="00BF4427">
        <w:trPr>
          <w:trHeight w:val="67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ind w:firstLine="0"/>
              <w:jc w:val="left"/>
              <w:rPr>
                <w:lang w:val="es-ES"/>
              </w:rPr>
            </w:pPr>
            <w:r w:rsidRPr="00375A39">
              <w:t xml:space="preserve">Unidad 3. </w:t>
            </w:r>
            <w:r w:rsidRPr="00375A39">
              <w:rPr>
                <w:color w:val="333333"/>
                <w:lang w:val="es-ES" w:eastAsia="es-ES"/>
              </w:rPr>
              <w:t>El contrato de trabajo y la negociación colectiva. Análisis de la última reforma laboral.</w:t>
            </w:r>
          </w:p>
        </w:tc>
      </w:tr>
      <w:tr w:rsidR="00532B5D" w:rsidRPr="00375A39" w:rsidTr="00BF4427">
        <w:trPr>
          <w:trHeight w:val="67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ind w:firstLine="0"/>
              <w:jc w:val="left"/>
              <w:rPr>
                <w:lang w:val="es-ES"/>
              </w:rPr>
            </w:pPr>
            <w:r w:rsidRPr="00375A39">
              <w:t xml:space="preserve">Unidad 4. </w:t>
            </w:r>
            <w:r w:rsidRPr="00375A39">
              <w:rPr>
                <w:color w:val="333333"/>
                <w:lang w:val="es-ES" w:eastAsia="es-ES"/>
              </w:rPr>
              <w:t xml:space="preserve">Los "riesgos laborales": ¿trabajar es un riesgo? La "sociedad del riesgo" (U. Beck). Proyecto: </w:t>
            </w:r>
            <w:r w:rsidRPr="00375A39">
              <w:rPr>
                <w:color w:val="333333"/>
                <w:shd w:val="clear" w:color="auto" w:fill="FFFFFF"/>
              </w:rPr>
              <w:t>Socioanálisis de un/a "emprendedor/a".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Segundo trimestre</w:t>
            </w: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line="360" w:lineRule="atLeast"/>
              <w:ind w:firstLine="0"/>
              <w:jc w:val="left"/>
              <w:rPr>
                <w:lang w:val="es-ES"/>
              </w:rPr>
            </w:pPr>
            <w:r w:rsidRPr="00375A39">
              <w:t>Unidad 5.</w:t>
            </w:r>
            <w:r w:rsidRPr="00375A39">
              <w:rPr>
                <w:color w:val="333333"/>
                <w:lang w:val="es-ES" w:eastAsia="es-ES"/>
              </w:rPr>
              <w:t xml:space="preserve">La empresa. 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6. </w:t>
            </w:r>
            <w:r w:rsidRPr="00375A39">
              <w:rPr>
                <w:color w:val="333333"/>
                <w:lang w:val="es-ES" w:eastAsia="es-ES"/>
              </w:rPr>
              <w:t>Tipos de empresas según su fórmula jurídica. Empresa pública y privada.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7. </w:t>
            </w:r>
            <w:r w:rsidRPr="00375A39">
              <w:rPr>
                <w:color w:val="333333"/>
                <w:lang w:val="es-ES" w:eastAsia="es-ES"/>
              </w:rPr>
              <w:t>Producción, distribución y marketing.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8. </w:t>
            </w:r>
            <w:r w:rsidRPr="00375A39">
              <w:rPr>
                <w:color w:val="333333"/>
                <w:lang w:val="es-ES" w:eastAsia="es-ES"/>
              </w:rPr>
              <w:t>Los recursos humanos.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9. </w:t>
            </w:r>
            <w:r w:rsidRPr="00375A39">
              <w:rPr>
                <w:color w:val="333333"/>
                <w:shd w:val="clear" w:color="auto" w:fill="FFFFFF"/>
              </w:rPr>
              <w:t>Un proyecto de emprendimiento cultural en nuestro centro.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Tercer trimestre</w:t>
            </w: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10. </w:t>
            </w:r>
            <w:r w:rsidRPr="00375A39">
              <w:rPr>
                <w:color w:val="333333"/>
                <w:shd w:val="clear" w:color="auto" w:fill="FFFFFF"/>
              </w:rPr>
              <w:t>Un análisis crítico de la "educación financiera".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11. </w:t>
            </w:r>
            <w:r w:rsidRPr="00375A39">
              <w:rPr>
                <w:color w:val="333333"/>
                <w:shd w:val="clear" w:color="auto" w:fill="FFFFFF"/>
              </w:rPr>
              <w:t xml:space="preserve">Fuentes de financiación. 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12. </w:t>
            </w:r>
            <w:r w:rsidRPr="00375A39">
              <w:rPr>
                <w:color w:val="333333"/>
                <w:shd w:val="clear" w:color="auto" w:fill="FFFFFF"/>
              </w:rPr>
              <w:t>El crowfunding.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13. </w:t>
            </w:r>
            <w:r w:rsidRPr="00375A39">
              <w:rPr>
                <w:color w:val="333333"/>
                <w:shd w:val="clear" w:color="auto" w:fill="FFFFFF"/>
              </w:rPr>
              <w:t>Análisis y crítica de los nuevos "productos financieros".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14. </w:t>
            </w:r>
            <w:r w:rsidRPr="00375A39">
              <w:rPr>
                <w:color w:val="333333"/>
                <w:shd w:val="clear" w:color="auto" w:fill="FFFFFF"/>
              </w:rPr>
              <w:t>La educación financiera entra en nuestras escuelas.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vMerge/>
            <w:tcBorders>
              <w:top w:val="nil"/>
            </w:tcBorders>
            <w:shd w:val="clear" w:color="auto" w:fill="FFFF99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</w:p>
        </w:tc>
        <w:tc>
          <w:tcPr>
            <w:tcW w:w="6693" w:type="dxa"/>
          </w:tcPr>
          <w:p w:rsidR="00532B5D" w:rsidRPr="00375A39" w:rsidRDefault="00532B5D" w:rsidP="00BF4427">
            <w:pPr>
              <w:spacing w:before="0" w:after="0"/>
              <w:ind w:firstLine="0"/>
            </w:pPr>
            <w:r w:rsidRPr="00375A39">
              <w:t xml:space="preserve">Unidad 15. </w:t>
            </w:r>
            <w:r w:rsidRPr="00375A39">
              <w:rPr>
                <w:color w:val="333333"/>
                <w:shd w:val="clear" w:color="auto" w:fill="FFFFFF"/>
              </w:rPr>
              <w:t>Un proyecto de emprendimiento social en nuestro entorno.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shd w:val="clear" w:color="auto" w:fill="FFCC66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Equipo docente</w:t>
            </w:r>
          </w:p>
        </w:tc>
        <w:tc>
          <w:tcPr>
            <w:tcW w:w="6693" w:type="dxa"/>
            <w:tcBorders>
              <w:bottom w:val="double" w:sz="4" w:space="0" w:color="auto"/>
            </w:tcBorders>
          </w:tcPr>
          <w:p w:rsidR="00532B5D" w:rsidRPr="00375A39" w:rsidRDefault="00532B5D" w:rsidP="00BF4427">
            <w:pPr>
              <w:spacing w:before="0" w:after="0"/>
              <w:ind w:firstLine="0"/>
            </w:pP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shd w:val="clear" w:color="auto" w:fill="FFCC66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Instrumentos de evaluación</w:t>
            </w:r>
          </w:p>
        </w:tc>
        <w:tc>
          <w:tcPr>
            <w:tcW w:w="6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B5D" w:rsidRPr="00375A39" w:rsidRDefault="00532B5D" w:rsidP="00BF4427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 w:rsidRPr="00375A39">
              <w:t>Asistencia  y participación en las tareas de clase (25%).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 w:rsidRPr="00375A39">
              <w:t>Elaboración del cuaderno del trabajo, blog y actividades de emprendimiento cultural (25%)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 w:rsidRPr="00375A39">
              <w:t>Presentación de las tareas individuales o de grupo (50%)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shd w:val="clear" w:color="auto" w:fill="FFCC66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Metodología</w:t>
            </w:r>
          </w:p>
        </w:tc>
        <w:tc>
          <w:tcPr>
            <w:tcW w:w="6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B5D" w:rsidRPr="00375A39" w:rsidRDefault="00532B5D" w:rsidP="00BF4427">
            <w:pPr>
              <w:pStyle w:val="ListParagraph"/>
              <w:spacing w:before="0" w:after="0"/>
              <w:ind w:left="0" w:firstLine="0"/>
            </w:pPr>
            <w:r w:rsidRPr="00375A39">
              <w:t>El material de trabajo será el que profesor suba al blog de la asignatura (josbenito.edublogs.org) (del que encontraréis el enlace en el aula virtual del Centro). La hora presencial se dedicará a: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2"/>
              </w:numPr>
              <w:spacing w:before="0" w:after="0"/>
              <w:ind w:left="0"/>
            </w:pPr>
            <w:r w:rsidRPr="00375A39">
              <w:t>- Aclaraciones, debate y resolución de las tareas propuestas.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2"/>
              </w:numPr>
              <w:spacing w:before="0" w:after="0"/>
              <w:ind w:left="0"/>
            </w:pPr>
            <w:r w:rsidRPr="00375A39">
              <w:t>- Corrección colectiva de las tareas.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2"/>
              </w:numPr>
              <w:spacing w:before="0" w:after="0"/>
              <w:ind w:left="0"/>
            </w:pPr>
            <w:r w:rsidRPr="00375A39">
              <w:t>- Realización de actividades de refuerzo.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2"/>
              </w:numPr>
              <w:spacing w:before="0" w:after="0"/>
              <w:ind w:left="0"/>
            </w:pPr>
            <w:r w:rsidRPr="00375A39">
              <w:t>- Actividades colaborativas.</w:t>
            </w:r>
          </w:p>
        </w:tc>
      </w:tr>
      <w:tr w:rsidR="00532B5D" w:rsidRPr="00375A39" w:rsidTr="00BF4427">
        <w:trPr>
          <w:trHeight w:val="54"/>
        </w:trPr>
        <w:tc>
          <w:tcPr>
            <w:tcW w:w="1951" w:type="dxa"/>
            <w:shd w:val="clear" w:color="auto" w:fill="FFFF99"/>
            <w:vAlign w:val="center"/>
          </w:tcPr>
          <w:p w:rsidR="00532B5D" w:rsidRPr="00375A39" w:rsidRDefault="00532B5D" w:rsidP="00BF4427">
            <w:pPr>
              <w:spacing w:before="0" w:after="0"/>
              <w:ind w:firstLine="0"/>
              <w:jc w:val="center"/>
            </w:pPr>
            <w:r w:rsidRPr="00375A39">
              <w:t>Contacto</w:t>
            </w:r>
          </w:p>
        </w:tc>
        <w:tc>
          <w:tcPr>
            <w:tcW w:w="6693" w:type="dxa"/>
            <w:tcBorders>
              <w:top w:val="double" w:sz="4" w:space="0" w:color="auto"/>
            </w:tcBorders>
          </w:tcPr>
          <w:p w:rsidR="00532B5D" w:rsidRPr="00375A39" w:rsidRDefault="00532B5D" w:rsidP="00BF4427">
            <w:pPr>
              <w:pStyle w:val="ListParagraph"/>
              <w:spacing w:before="0" w:after="0"/>
              <w:ind w:left="0" w:firstLine="0"/>
            </w:pPr>
            <w:r w:rsidRPr="00375A39">
              <w:t xml:space="preserve">El correo interno servirá para que: 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3"/>
              </w:numPr>
              <w:spacing w:before="0" w:after="0"/>
              <w:ind w:left="720"/>
            </w:pPr>
            <w:r w:rsidRPr="00375A39">
              <w:t>el alumn@ plantee dudas o solicite información pertinente,</w:t>
            </w:r>
          </w:p>
          <w:p w:rsidR="00532B5D" w:rsidRPr="00375A39" w:rsidRDefault="00532B5D" w:rsidP="00BF4427">
            <w:pPr>
              <w:pStyle w:val="ListParagraph"/>
              <w:numPr>
                <w:ilvl w:val="0"/>
                <w:numId w:val="3"/>
              </w:numPr>
              <w:spacing w:before="0" w:after="0"/>
              <w:ind w:left="720"/>
            </w:pPr>
            <w:r w:rsidRPr="00375A39">
              <w:t>el profesor haga comunicaciones masivas.</w:t>
            </w:r>
          </w:p>
        </w:tc>
      </w:tr>
    </w:tbl>
    <w:p w:rsidR="00532B5D" w:rsidRDefault="00532B5D" w:rsidP="00BF4427">
      <w:pPr>
        <w:ind w:firstLine="0"/>
      </w:pPr>
    </w:p>
    <w:p w:rsidR="00532B5D" w:rsidRDefault="00532B5D"/>
    <w:sectPr w:rsidR="00532B5D" w:rsidSect="00B91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9A1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0AD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4E6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48D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38B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AA2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E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92E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E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30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74A"/>
    <w:multiLevelType w:val="hybridMultilevel"/>
    <w:tmpl w:val="B09E4518"/>
    <w:lvl w:ilvl="0" w:tplc="D43A2C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63B45"/>
    <w:multiLevelType w:val="hybridMultilevel"/>
    <w:tmpl w:val="240E94E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7560E1"/>
    <w:multiLevelType w:val="multilevel"/>
    <w:tmpl w:val="D8C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C5DBB"/>
    <w:multiLevelType w:val="hybridMultilevel"/>
    <w:tmpl w:val="55B0DA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30338"/>
    <w:multiLevelType w:val="multilevel"/>
    <w:tmpl w:val="406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54E55"/>
    <w:multiLevelType w:val="multilevel"/>
    <w:tmpl w:val="B362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4228A"/>
    <w:multiLevelType w:val="multilevel"/>
    <w:tmpl w:val="7AB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1276E"/>
    <w:multiLevelType w:val="hybridMultilevel"/>
    <w:tmpl w:val="C7ACC4EC"/>
    <w:lvl w:ilvl="0" w:tplc="B2C262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90"/>
    <w:rsid w:val="00000DDB"/>
    <w:rsid w:val="000015EF"/>
    <w:rsid w:val="00034EA0"/>
    <w:rsid w:val="00076F2A"/>
    <w:rsid w:val="000D01F1"/>
    <w:rsid w:val="00104489"/>
    <w:rsid w:val="00184171"/>
    <w:rsid w:val="002A7235"/>
    <w:rsid w:val="002C63E6"/>
    <w:rsid w:val="002C668D"/>
    <w:rsid w:val="002D2F45"/>
    <w:rsid w:val="002D54E5"/>
    <w:rsid w:val="00302ADF"/>
    <w:rsid w:val="00325DFE"/>
    <w:rsid w:val="0035298A"/>
    <w:rsid w:val="00357A4A"/>
    <w:rsid w:val="00360B4C"/>
    <w:rsid w:val="00375A39"/>
    <w:rsid w:val="004111DC"/>
    <w:rsid w:val="00411AE5"/>
    <w:rsid w:val="00447B9B"/>
    <w:rsid w:val="004A7B9B"/>
    <w:rsid w:val="00532B5D"/>
    <w:rsid w:val="005F43E7"/>
    <w:rsid w:val="00642650"/>
    <w:rsid w:val="00661A65"/>
    <w:rsid w:val="006648F9"/>
    <w:rsid w:val="006A4ED0"/>
    <w:rsid w:val="007F2069"/>
    <w:rsid w:val="007F3BAD"/>
    <w:rsid w:val="00814660"/>
    <w:rsid w:val="008432CA"/>
    <w:rsid w:val="00863BDF"/>
    <w:rsid w:val="008871E8"/>
    <w:rsid w:val="008F031C"/>
    <w:rsid w:val="009B44DF"/>
    <w:rsid w:val="009E2BEC"/>
    <w:rsid w:val="009F118D"/>
    <w:rsid w:val="00A5566E"/>
    <w:rsid w:val="00A64D34"/>
    <w:rsid w:val="00A8610C"/>
    <w:rsid w:val="00AE4222"/>
    <w:rsid w:val="00B334BE"/>
    <w:rsid w:val="00B33A47"/>
    <w:rsid w:val="00B431A5"/>
    <w:rsid w:val="00B745C7"/>
    <w:rsid w:val="00B9135E"/>
    <w:rsid w:val="00B9204F"/>
    <w:rsid w:val="00BD5F7B"/>
    <w:rsid w:val="00BE5F2C"/>
    <w:rsid w:val="00BF4427"/>
    <w:rsid w:val="00CB1F77"/>
    <w:rsid w:val="00CE4390"/>
    <w:rsid w:val="00D20840"/>
    <w:rsid w:val="00D47DFD"/>
    <w:rsid w:val="00D90F47"/>
    <w:rsid w:val="00E63E44"/>
    <w:rsid w:val="00F9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7"/>
    <w:pPr>
      <w:spacing w:before="100" w:beforeAutospacing="1" w:after="100" w:afterAutospacing="1"/>
      <w:ind w:firstLine="709"/>
      <w:jc w:val="both"/>
    </w:pPr>
    <w:rPr>
      <w:lang w:val="es-ES_tradnl" w:eastAsia="en-US"/>
    </w:rPr>
  </w:style>
  <w:style w:type="paragraph" w:styleId="Heading2">
    <w:name w:val="heading 2"/>
    <w:basedOn w:val="Normal"/>
    <w:link w:val="Heading2Char"/>
    <w:uiPriority w:val="99"/>
    <w:qFormat/>
    <w:rsid w:val="00D90F47"/>
    <w:pPr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F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F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F47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0F47"/>
    <w:rPr>
      <w:rFonts w:ascii="Cambria" w:hAnsi="Cambria" w:cs="Times New Roman"/>
      <w:b/>
      <w:bCs/>
      <w:color w:val="4F81BD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F47"/>
    <w:rPr>
      <w:rFonts w:ascii="Cambria" w:hAnsi="Cambria" w:cs="Times New Roman"/>
      <w:b/>
      <w:bCs/>
      <w:i/>
      <w:iCs/>
      <w:color w:val="4F81BD"/>
      <w:lang w:val="es-ES_tradnl"/>
    </w:rPr>
  </w:style>
  <w:style w:type="paragraph" w:styleId="Title">
    <w:name w:val="Title"/>
    <w:basedOn w:val="Normal"/>
    <w:next w:val="Normal"/>
    <w:link w:val="TitleChar"/>
    <w:uiPriority w:val="99"/>
    <w:qFormat/>
    <w:rsid w:val="00D90F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0F47"/>
    <w:rPr>
      <w:rFonts w:ascii="Cambria" w:hAnsi="Cambria" w:cs="Times New Roman"/>
      <w:color w:val="17365D"/>
      <w:spacing w:val="5"/>
      <w:kern w:val="28"/>
      <w:sz w:val="52"/>
      <w:szCs w:val="52"/>
      <w:lang w:val="es-ES_tradnl"/>
    </w:rPr>
  </w:style>
  <w:style w:type="character" w:styleId="Strong">
    <w:name w:val="Strong"/>
    <w:basedOn w:val="DefaultParagraphFont"/>
    <w:uiPriority w:val="99"/>
    <w:qFormat/>
    <w:rsid w:val="00D90F4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D90F47"/>
    <w:pPr>
      <w:spacing w:before="100" w:beforeAutospacing="1" w:afterAutospacing="1"/>
      <w:ind w:firstLine="709"/>
      <w:jc w:val="both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47"/>
    <w:rPr>
      <w:rFonts w:cs="Times New Roman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99"/>
    <w:qFormat/>
    <w:rsid w:val="00D90F47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90F47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E4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383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2017-05-16T19:54:00Z</dcterms:created>
  <dcterms:modified xsi:type="dcterms:W3CDTF">2017-05-25T14:12:00Z</dcterms:modified>
</cp:coreProperties>
</file>