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efectos3D3"/>
        <w:tblW w:w="5000" w:type="pct"/>
        <w:tblLook w:val="00A0"/>
      </w:tblPr>
      <w:tblGrid>
        <w:gridCol w:w="4993"/>
        <w:gridCol w:w="1937"/>
        <w:gridCol w:w="1790"/>
      </w:tblGrid>
      <w:tr w:rsidR="00D01EC0" w:rsidRPr="007702EC" w:rsidTr="00B61FE0">
        <w:trPr>
          <w:cnfStyle w:val="100000000000"/>
        </w:trPr>
        <w:tc>
          <w:tcPr>
            <w:cnfStyle w:val="001000000000"/>
            <w:tcW w:w="3478" w:type="pct"/>
          </w:tcPr>
          <w:p w:rsidR="00D01EC0" w:rsidRPr="007354B4" w:rsidRDefault="00D01EC0" w:rsidP="00B61FE0">
            <w:pPr>
              <w:widowControl/>
              <w:suppressAutoHyphens w:val="0"/>
              <w:spacing w:before="51" w:after="120"/>
              <w:jc w:val="center"/>
              <w:rPr>
                <w:rFonts w:eastAsia="Times New Roman" w:cs="Times New Roman"/>
                <w:b w:val="0"/>
                <w:kern w:val="0"/>
                <w:lang w:eastAsia="es-ES" w:bidi="ar-SA"/>
              </w:rPr>
            </w:pPr>
            <w:bookmarkStart w:id="0" w:name="_GoBack" w:colFirst="3" w:colLast="3"/>
            <w:r>
              <w:rPr>
                <w:rFonts w:eastAsia="Times New Roman" w:cs="Times New Roman"/>
                <w:b w:val="0"/>
                <w:kern w:val="0"/>
                <w:lang w:eastAsia="es-ES" w:bidi="ar-SA"/>
              </w:rPr>
              <w:t xml:space="preserve">INGLÉS 4º ESO. CRITERIOS DE EVALUACIÓN </w:t>
            </w:r>
          </w:p>
        </w:tc>
        <w:tc>
          <w:tcPr>
            <w:cnfStyle w:val="000010000000"/>
            <w:tcW w:w="795" w:type="pct"/>
          </w:tcPr>
          <w:p w:rsidR="00D01EC0" w:rsidRPr="007354B4" w:rsidRDefault="00D01EC0" w:rsidP="00B61FE0">
            <w:pPr>
              <w:widowControl/>
              <w:suppressAutoHyphens w:val="0"/>
              <w:spacing w:before="51" w:after="120"/>
              <w:jc w:val="center"/>
              <w:rPr>
                <w:rFonts w:eastAsia="Times New Roman" w:cs="Times New Roman"/>
                <w:b w:val="0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b w:val="0"/>
                <w:kern w:val="0"/>
                <w:lang w:eastAsia="es-ES" w:bidi="ar-SA"/>
              </w:rPr>
              <w:t>PONDERACIÓN</w:t>
            </w:r>
          </w:p>
        </w:tc>
        <w:tc>
          <w:tcPr>
            <w:cnfStyle w:val="000001000000"/>
            <w:tcW w:w="727" w:type="pct"/>
          </w:tcPr>
          <w:p w:rsidR="00D01EC0" w:rsidRPr="007354B4" w:rsidRDefault="00D01EC0" w:rsidP="00B61FE0">
            <w:pPr>
              <w:widowControl/>
              <w:suppressAutoHyphens w:val="0"/>
              <w:spacing w:before="51" w:after="120"/>
              <w:jc w:val="center"/>
              <w:rPr>
                <w:rFonts w:eastAsia="Times New Roman" w:cs="Times New Roman"/>
                <w:b w:val="0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b w:val="0"/>
                <w:kern w:val="0"/>
                <w:lang w:eastAsia="es-ES" w:bidi="ar-SA"/>
              </w:rPr>
              <w:t xml:space="preserve">MÉTODO DE EVALUACIÓN </w:t>
            </w:r>
          </w:p>
        </w:tc>
      </w:tr>
      <w:tr w:rsidR="00D01EC0" w:rsidRPr="007702EC" w:rsidTr="00B61FE0">
        <w:trPr>
          <w:cnfStyle w:val="000000100000"/>
          <w:trHeight w:val="446"/>
        </w:trPr>
        <w:tc>
          <w:tcPr>
            <w:cnfStyle w:val="001000000000"/>
            <w:tcW w:w="5000" w:type="pct"/>
            <w:gridSpan w:val="3"/>
          </w:tcPr>
          <w:p w:rsidR="00D01EC0" w:rsidRPr="00D17974" w:rsidRDefault="00D01EC0" w:rsidP="00B61FE0">
            <w:pPr>
              <w:pStyle w:val="Textbody"/>
              <w:spacing w:before="240" w:after="240" w:line="276" w:lineRule="auto"/>
              <w:jc w:val="center"/>
            </w:pPr>
            <w:r w:rsidRPr="00225397">
              <w:rPr>
                <w:rFonts w:ascii="Calibri" w:hAnsi="Calibri" w:cs="Arial"/>
                <w:b/>
                <w:i/>
                <w:kern w:val="0"/>
                <w:lang w:eastAsia="es-ES" w:bidi="ar-SA"/>
              </w:rPr>
              <w:t xml:space="preserve">BLOQUE 1 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Comprensión de textos orales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Pr="007354B4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t xml:space="preserve">1.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- Identificar la información esencial y algunos de los detalles más relevantes en textos orales breves o de longitud media y bien estructurados, transmitidos de viva voz o por medios técnicos y articulados a velocidad media, en un registro formal, informal o neutro, y que versen sobre asuntos cotidianos en situaciones habituales, siempre que las condiciones acústicas no distorsionen el mensaje y se pueda volver a escuchar lo dicho.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Pr="00776A48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Arial"/>
                <w:kern w:val="0"/>
                <w:lang w:eastAsia="es-ES" w:bidi="ar-SA"/>
              </w:rPr>
            </w:pPr>
            <w:r w:rsidRPr="00776A48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Pr="007354B4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t xml:space="preserve">2.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Conocer y saber aplicar las estrategias más adecuadas para la comprensión del sentido general, la información esencial, las ideas principales y los detalles más relevantes del texto.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4D3E9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Pr="007354B4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t xml:space="preserve">3.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4D3E9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Pr="007354B4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t xml:space="preserve">4.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Distinguir la función o funciones comunicativas más relevantes del texto y patrones discursivos básicos relativos a la organización textual (introducción del tema, desarrollo y cierre).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4D3E9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Pr="007354B4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t xml:space="preserve">5.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Aplicar a la comprensión del texto los conocimientos sobre los constituyentes y la organización de patrones sintácticos y discursivos de uso muy frecuente en la comunicación oral.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4D3E9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Pr="007354B4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t xml:space="preserve">6.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Reconocer léxico oral de uso común relativo a asuntos cotidianos y a temas generales o relacionados con los propios intereses, estudios e inferir del contexto y del </w:t>
            </w:r>
            <w:proofErr w:type="spellStart"/>
            <w:r>
              <w:rPr>
                <w:rFonts w:ascii="Arial" w:eastAsia="Times New Roman" w:hAnsi="Arial" w:cs="NewsGotT-Regu"/>
                <w:sz w:val="20"/>
                <w:szCs w:val="20"/>
              </w:rPr>
              <w:t>cotexto</w:t>
            </w:r>
            <w:proofErr w:type="spellEnd"/>
            <w:r>
              <w:rPr>
                <w:rFonts w:ascii="Arial" w:eastAsia="Times New Roman" w:hAnsi="Arial" w:cs="NewsGotT-Regu"/>
                <w:sz w:val="20"/>
                <w:szCs w:val="20"/>
              </w:rPr>
              <w:t>, con apoyo visual, los significados de algunas palabras y expresiones.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4D3E9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lastRenderedPageBreak/>
              <w:t xml:space="preserve">7.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Discriminar patrones fonológicos, patrones sonoros, acentuales, rítmicos y de entonación de uso común, y reconocer los significados e intenciones comunicativas más generales relacionados con los mismos.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1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4D3E9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8.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Identificar algunos elementos culturales o geográficos propios de países y culturas donde se habla la lengua extranjera y mostrar interés por conocerlos.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1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CC2E90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9.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Valorar la lengua extranjera como instrumento para comunicarse y dar a conocer la cultura andaluza.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1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CC2E90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Pr="00822B70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b/>
              </w:rPr>
            </w:pPr>
            <w:r w:rsidRPr="00822B70">
              <w:rPr>
                <w:b/>
              </w:rPr>
              <w:t xml:space="preserve">TOTAL BLOQUE </w:t>
            </w:r>
          </w:p>
        </w:tc>
        <w:tc>
          <w:tcPr>
            <w:cnfStyle w:val="000010000000"/>
            <w:tcW w:w="1522" w:type="pct"/>
            <w:gridSpan w:val="2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20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5000" w:type="pct"/>
            <w:gridSpan w:val="3"/>
          </w:tcPr>
          <w:p w:rsidR="00D01EC0" w:rsidRPr="00822B70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Arial"/>
                <w:b/>
                <w:i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Calibri" w:hAnsi="Calibri"/>
                <w:b/>
                <w:i/>
              </w:rPr>
              <w:t xml:space="preserve">Bloque 2. </w:t>
            </w:r>
            <w:r>
              <w:rPr>
                <w:rFonts w:ascii="Arial" w:eastAsia="Times New Roman" w:hAnsi="Arial" w:cs="NewsGotT-Regu"/>
                <w:b/>
                <w:bCs/>
                <w:sz w:val="20"/>
                <w:szCs w:val="20"/>
              </w:rPr>
              <w:t>Producción de textos orales: expresión e interacción.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1.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Producir textos breves o de longitud media y comprensibles, tanto en conversación cara a cara, como por teléfono u otros medios técnicos, en un registro neutro, formal o informal, con un lenguaje sencillo, en los que se da, se solicita y se intercambia información sobre temas de importancia en la vida cotidiana y asuntos conocidos o de interés personal o educativo y se justifican de manera simple pero suficiente los motivos de determinadas acciones o planes, a pesar de eventuales interrupciones o vacilaciones, pausas evidentes, reformulaciones discursivas, selección de expresiones y estructuras y peticiones de repetición por parte del interlocutor.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5859DF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</w:p>
        </w:tc>
        <w:tc>
          <w:tcPr>
            <w:cnfStyle w:val="000010000000"/>
            <w:tcW w:w="795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</w:p>
        </w:tc>
        <w:tc>
          <w:tcPr>
            <w:cnfStyle w:val="000001000000"/>
            <w:tcW w:w="727" w:type="pct"/>
          </w:tcPr>
          <w:p w:rsidR="00D01EC0" w:rsidRPr="005859DF" w:rsidRDefault="00D01EC0" w:rsidP="00B61FE0">
            <w:pPr>
              <w:jc w:val="center"/>
              <w:rPr>
                <w:rFonts w:ascii="Calibri" w:hAnsi="Calibri" w:cs="Arial"/>
                <w:kern w:val="0"/>
                <w:lang w:eastAsia="es-ES" w:bidi="ar-SA"/>
              </w:rPr>
            </w:pP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2.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Conocer y saber aplicar las estrategias más adecuadas para producir textos orales </w:t>
            </w:r>
            <w:proofErr w:type="spellStart"/>
            <w:r>
              <w:rPr>
                <w:rFonts w:ascii="Arial" w:eastAsia="Times New Roman" w:hAnsi="Arial" w:cs="NewsGotT-Regu"/>
                <w:sz w:val="20"/>
                <w:szCs w:val="20"/>
              </w:rPr>
              <w:t>monológicos</w:t>
            </w:r>
            <w:proofErr w:type="spellEnd"/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lastRenderedPageBreak/>
              <w:t>y llevar a cabo las funciones demandadas por el propósito comunicativo, utilizando los exponentes y los patrones discursivos más comunes para organizar el texto de manera sencilla y coherente con el contexto.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lastRenderedPageBreak/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5859DF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pStyle w:val="Standard"/>
              <w:autoSpaceDE w:val="0"/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lastRenderedPageBreak/>
              <w:t xml:space="preserve">3.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Incorporar a la producción de los textos orales algunos conocimientos socioculturales y sociolingüísticos</w:t>
            </w:r>
          </w:p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proofErr w:type="gramStart"/>
            <w:r>
              <w:rPr>
                <w:rFonts w:ascii="Arial" w:eastAsia="Times New Roman" w:hAnsi="Arial" w:cs="NewsGotT-Regu"/>
                <w:sz w:val="20"/>
                <w:szCs w:val="20"/>
              </w:rPr>
              <w:t>adquiridos</w:t>
            </w:r>
            <w:proofErr w:type="gramEnd"/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 relativos a estructuras sociales, relaciones interpersonales, patrones de actuación, comportamiento y convenciones sociales, respetando las normas de cortesía más importantes en los contextos respectivos.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1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5859DF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  <w:p w:rsidR="00D01EC0" w:rsidRPr="00BF24A5" w:rsidRDefault="00D01EC0" w:rsidP="00B61FE0"/>
          <w:p w:rsidR="00D01EC0" w:rsidRPr="00BF24A5" w:rsidRDefault="00D01EC0" w:rsidP="00B61FE0"/>
          <w:p w:rsidR="00D01EC0" w:rsidRDefault="00D01EC0" w:rsidP="00B61FE0"/>
          <w:p w:rsidR="00D01EC0" w:rsidRPr="00BF24A5" w:rsidRDefault="00D01EC0" w:rsidP="00B61FE0">
            <w:pPr>
              <w:jc w:val="center"/>
            </w:pPr>
          </w:p>
        </w:tc>
      </w:tr>
      <w:tr w:rsidR="00D01EC0" w:rsidRPr="007702EC" w:rsidTr="00B61FE0">
        <w:trPr>
          <w:gridAfter w:val="2"/>
          <w:cnfStyle w:val="000000100000"/>
          <w:wAfter w:w="1522" w:type="pct"/>
          <w:trHeight w:val="104"/>
        </w:trPr>
        <w:tc>
          <w:tcPr>
            <w:cnfStyle w:val="001000000000"/>
            <w:tcW w:w="3478" w:type="pct"/>
          </w:tcPr>
          <w:p w:rsidR="00D01EC0" w:rsidRPr="00BF24A5" w:rsidRDefault="00D01EC0" w:rsidP="00B61FE0"/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4.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Mostrar control sobre un repertorio limitado de estructuras sintácticas de uso habitual y emplear para comunicarse mecanismos sencillos lo bastante ajustados al contexto y a la intención comunicativa: repetición léxica, elipsis, deixis personal, espacial y temporal, yuxtaposición y conectores y marcadores conversacionales frecuentes entre otros.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5859DF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5.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Utilizar un repertorio léxico oral suficiente para comunicar información, relativo a temas generales relacionados con situaciones habituales y cotidianas, susceptible de adaptación en situaciones menos habituales.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5859DF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6.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B669E8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7.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1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B669E8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lastRenderedPageBreak/>
              <w:t xml:space="preserve">8.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Interactuar de manera sencilla pero efectiva en intercambios claramente estructurados, utilizando fórmulas o gestos simples para tomar o ceder el turno de palabra, aunque se dependa en gran medida de la actuación del interlocutor.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1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B669E8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9.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Identificar elementos culturales o geográficos propios de países y culturas donde se habla la lengua extranjera y mostrar interés por conocerlos.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1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B669E8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10.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Valorar la lengua extranjera como instrumento para comunicarse y dar a conocer la cultura andaluza.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1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B669E8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 w:rsidRPr="00822B70">
              <w:rPr>
                <w:b/>
              </w:rPr>
              <w:t>TOTAL BLOQUE</w:t>
            </w:r>
          </w:p>
        </w:tc>
        <w:tc>
          <w:tcPr>
            <w:cnfStyle w:val="000010000000"/>
            <w:tcW w:w="1522" w:type="pct"/>
            <w:gridSpan w:val="2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20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5000" w:type="pct"/>
            <w:gridSpan w:val="3"/>
          </w:tcPr>
          <w:p w:rsidR="00D01EC0" w:rsidRPr="00822B70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Arial"/>
                <w:b/>
                <w:i/>
                <w:kern w:val="0"/>
                <w:sz w:val="36"/>
                <w:szCs w:val="36"/>
                <w:lang w:eastAsia="es-ES" w:bidi="ar-SA"/>
              </w:rPr>
            </w:pPr>
            <w:r w:rsidRPr="00822B70">
              <w:rPr>
                <w:rFonts w:ascii="Calibri" w:hAnsi="Calibri"/>
                <w:b/>
                <w:i/>
              </w:rPr>
              <w:t xml:space="preserve">Bloque 3. </w:t>
            </w:r>
            <w:r>
              <w:rPr>
                <w:rFonts w:ascii="Arial" w:eastAsia="Times New Roman" w:hAnsi="Arial" w:cs="NewsGotT-Regu"/>
                <w:b/>
                <w:bCs/>
                <w:sz w:val="20"/>
                <w:szCs w:val="20"/>
              </w:rPr>
              <w:t>Comprensión de textos escritos.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1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Identificar la información esencial, los puntos más relevantes y detalles importantes en textos breves, o de longitud media y bien estructurados, escritos en un registro formal, informal o neutro, que traten asuntos cotidianos, de temas de interés o relevantes para los propios estudios y que contengan estructuras sencillas y un léxico de uso común tanto en formato impreso como en soporte digital.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 w:rsidRPr="00776A48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2.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Conocer y saber aplicar las estrategias más adecuadas para la comprensión del sentido general, la información esencial, los puntos e ideas principales o los detalles relevantes del texto.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1E70B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Pr="00BF24A5" w:rsidRDefault="00D01EC0" w:rsidP="00B61FE0">
            <w:pPr>
              <w:pStyle w:val="Standard"/>
              <w:autoSpaceDE w:val="0"/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t xml:space="preserve">3.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Conocer y utilizar para la comprensión del texto los aspectos socioculturales y </w:t>
            </w:r>
            <w:proofErr w:type="spellStart"/>
            <w:r>
              <w:rPr>
                <w:rFonts w:ascii="Arial" w:eastAsia="Times New Roman" w:hAnsi="Arial" w:cs="NewsGotT-Regu"/>
                <w:sz w:val="20"/>
                <w:szCs w:val="20"/>
              </w:rPr>
              <w:t>sociolingüísiticos</w:t>
            </w:r>
            <w:proofErr w:type="spellEnd"/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 relativos a la vida cotidiana (hábitos de estudio y trabajo, actividades de ocio, incluidas manifestaciones artísticas como la música o el cine, condiciones de vida (entorno, estructura social), relaciones personales (entre hombres y mujeres, en el trabajo, en el centro educativo) y convenciones sociales (costumbres, tradiciones).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1E70B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lastRenderedPageBreak/>
              <w:t xml:space="preserve">4.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1E70B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Pr="004440EB" w:rsidRDefault="00D01EC0" w:rsidP="00B61FE0">
            <w:pPr>
              <w:pStyle w:val="Standard"/>
              <w:autoSpaceDE w:val="0"/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t xml:space="preserve">5.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Reconocer, y aplicar a la comprensión del texto los constituyentes y la organización de estructuras sintácticas de uso común en la comunicación escrita, (p. ej. estructura exclamativa para expresar sorpresa).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1E70B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6.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Reconocer léxico escrito de uso común relativo a asuntos cotidianos y a temas generales o relacionados con los propios intereses, estudios y ocupaciones, e inferir del contexto y del contexto, con o sin apoyo visual, los significados de algunas palabras y expresiones que se desconocen.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1E70B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7.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Reconocer convenciones ortográficas, tipográficas y de puntuación, así como abreviaturas y símbolos de uso común (por ejemplo uso del apóstrofo, &amp;, etc.), y sus significados asociados.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1E70B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8.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Identificar elementos culturales o geográficos propios de países y culturas donde se habla la lengua extranjera y mostrar interés por conocerlos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1E70B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9.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Valorar la lengua extranjera como instrumento para comunicarse y dar a conocer la cultura andaluza.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1E70BD">
              <w:rPr>
                <w:rFonts w:ascii="Calibri" w:hAnsi="Calibri" w:cs="Arial"/>
                <w:kern w:val="0"/>
                <w:lang w:eastAsia="es-ES" w:bidi="ar-SA"/>
              </w:rPr>
              <w:t>Aritmética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 w:rsidRPr="00822B70">
              <w:rPr>
                <w:b/>
              </w:rPr>
              <w:t>TOTAL BLOQUE</w:t>
            </w:r>
          </w:p>
        </w:tc>
        <w:tc>
          <w:tcPr>
            <w:cnfStyle w:val="000010000000"/>
            <w:tcW w:w="1522" w:type="pct"/>
            <w:gridSpan w:val="2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30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5000" w:type="pct"/>
            <w:gridSpan w:val="3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</w:p>
          <w:p w:rsidR="00D01EC0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</w:p>
          <w:p w:rsidR="00D01EC0" w:rsidRPr="00776A48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Arial"/>
                <w:b/>
                <w:i/>
                <w:kern w:val="0"/>
                <w:sz w:val="36"/>
                <w:szCs w:val="36"/>
                <w:lang w:eastAsia="es-ES" w:bidi="ar-SA"/>
              </w:rPr>
            </w:pPr>
            <w:r w:rsidRPr="00776A48">
              <w:rPr>
                <w:rFonts w:ascii="Calibri" w:hAnsi="Calibri"/>
                <w:b/>
                <w:i/>
              </w:rPr>
              <w:t xml:space="preserve">Bloque 4. </w:t>
            </w:r>
            <w:r>
              <w:rPr>
                <w:rFonts w:ascii="Arial" w:eastAsia="Times New Roman" w:hAnsi="Arial" w:cs="NewsGotT-Regu"/>
                <w:b/>
                <w:bCs/>
                <w:sz w:val="20"/>
                <w:szCs w:val="20"/>
              </w:rPr>
              <w:t>Producción de textos escritos: expresión e interacción.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1.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Escribir en papel o en soporte electrónico, textos breves o de longitud media, sencillos y de estructura clara sobre temas cotidianos o de interés personal, en un registro formal, neutro o informal, utilizando adecuadamente recursos básicos de cohesión, las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lastRenderedPageBreak/>
              <w:t>convenciones ortográficas básicas y los signos de puntuación más comunes, con un control razonable de expresiones y estructuras sencillas y un léxico de uso frecuente.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lastRenderedPageBreak/>
              <w:t>4</w:t>
            </w:r>
          </w:p>
        </w:tc>
        <w:tc>
          <w:tcPr>
            <w:cnfStyle w:val="000001000000"/>
            <w:tcW w:w="727" w:type="pct"/>
          </w:tcPr>
          <w:p w:rsidR="00D01EC0" w:rsidRPr="00776A48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Arial"/>
                <w:kern w:val="0"/>
                <w:lang w:eastAsia="es-ES" w:bidi="ar-SA"/>
              </w:rPr>
            </w:pPr>
            <w:r w:rsidRPr="00776A48">
              <w:rPr>
                <w:rFonts w:ascii="Calibri" w:hAnsi="Calibri" w:cs="Arial"/>
                <w:kern w:val="0"/>
                <w:lang w:eastAsia="es-ES" w:bidi="ar-SA"/>
              </w:rPr>
              <w:t>Continua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lastRenderedPageBreak/>
              <w:t xml:space="preserve">2.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Conocer, seleccionar y aplicar estrategias adecuadas para elaborar textos escritos breves o de media longitud por ejemplo </w:t>
            </w:r>
            <w:proofErr w:type="spellStart"/>
            <w:r>
              <w:rPr>
                <w:rFonts w:ascii="Arial" w:eastAsia="Times New Roman" w:hAnsi="Arial" w:cs="NewsGotT-Regu"/>
                <w:sz w:val="20"/>
                <w:szCs w:val="20"/>
              </w:rPr>
              <w:t>refraseando</w:t>
            </w:r>
            <w:proofErr w:type="spellEnd"/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 estructuras a partir de otros textos de características y propósitos comunicativos similares, copiando formatos, fórmulas y modelos convencionales propios de cada tipo de texto.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D36A6A">
              <w:rPr>
                <w:rFonts w:ascii="Calibri" w:hAnsi="Calibri" w:cs="Arial"/>
                <w:kern w:val="0"/>
                <w:lang w:eastAsia="es-ES" w:bidi="ar-SA"/>
              </w:rPr>
              <w:t>Continua</w:t>
            </w:r>
          </w:p>
        </w:tc>
      </w:tr>
      <w:tr w:rsidR="00D01EC0" w:rsidRPr="007702EC" w:rsidTr="00B61FE0">
        <w:trPr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3.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D36A6A">
              <w:rPr>
                <w:rFonts w:ascii="Calibri" w:hAnsi="Calibri" w:cs="Arial"/>
                <w:kern w:val="0"/>
                <w:lang w:eastAsia="es-ES" w:bidi="ar-SA"/>
              </w:rPr>
              <w:t>Continua</w:t>
            </w: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>
              <w:t xml:space="preserve">4.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D36A6A">
              <w:rPr>
                <w:rFonts w:ascii="Calibri" w:hAnsi="Calibri" w:cs="Arial"/>
                <w:kern w:val="0"/>
                <w:lang w:eastAsia="es-ES" w:bidi="ar-SA"/>
              </w:rPr>
              <w:t>Continua</w:t>
            </w:r>
          </w:p>
        </w:tc>
      </w:tr>
      <w:tr w:rsidR="00D01EC0" w:rsidRPr="007702EC" w:rsidTr="00B61FE0">
        <w:trPr>
          <w:trHeight w:val="1060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spacing w:line="360" w:lineRule="auto"/>
              <w:jc w:val="both"/>
            </w:pPr>
            <w:r>
              <w:t xml:space="preserve">5.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</w:t>
            </w:r>
          </w:p>
        </w:tc>
        <w:tc>
          <w:tcPr>
            <w:cnfStyle w:val="000010000000"/>
            <w:tcW w:w="795" w:type="pct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Default="00D01EC0" w:rsidP="00B61FE0">
            <w:pPr>
              <w:jc w:val="center"/>
            </w:pPr>
            <w:r w:rsidRPr="00D36A6A">
              <w:rPr>
                <w:rFonts w:ascii="Calibri" w:hAnsi="Calibri" w:cs="Arial"/>
                <w:kern w:val="0"/>
                <w:lang w:eastAsia="es-ES" w:bidi="ar-SA"/>
              </w:rPr>
              <w:t>Continua</w:t>
            </w:r>
          </w:p>
        </w:tc>
      </w:tr>
      <w:tr w:rsidR="00D01EC0" w:rsidRPr="007702EC" w:rsidTr="00B61FE0">
        <w:trPr>
          <w:cnfStyle w:val="000000100000"/>
          <w:trHeight w:val="1373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  <w:p w:rsidR="00D01EC0" w:rsidRDefault="00D01EC0" w:rsidP="00B61FE0">
            <w:pPr>
              <w:spacing w:line="360" w:lineRule="auto"/>
              <w:jc w:val="both"/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t>6.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</w:t>
            </w:r>
          </w:p>
        </w:tc>
        <w:tc>
          <w:tcPr>
            <w:cnfStyle w:val="000010000000"/>
            <w:tcW w:w="795" w:type="pct"/>
          </w:tcPr>
          <w:p w:rsidR="00D01EC0" w:rsidRDefault="00D01EC0" w:rsidP="00B61FE0">
            <w:pPr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cnfStyle w:val="000001000000"/>
            <w:tcW w:w="727" w:type="pct"/>
          </w:tcPr>
          <w:p w:rsidR="00D01EC0" w:rsidRPr="00D36A6A" w:rsidRDefault="00D01EC0" w:rsidP="00B61FE0">
            <w:pPr>
              <w:jc w:val="center"/>
              <w:rPr>
                <w:rFonts w:ascii="Calibri" w:hAnsi="Calibri" w:cs="Arial"/>
                <w:kern w:val="0"/>
                <w:lang w:eastAsia="es-ES" w:bidi="ar-SA"/>
              </w:rPr>
            </w:pPr>
          </w:p>
        </w:tc>
      </w:tr>
      <w:tr w:rsidR="00D01EC0" w:rsidRPr="007702EC" w:rsidTr="00B61FE0">
        <w:trPr>
          <w:trHeight w:val="1840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lastRenderedPageBreak/>
              <w:t>7. Conocer y aplicar, de manera que el texto resulte comprensible en su mayor parte, los signos de puntuación elementales (por ejemplo el punto, la coma) y las reglas ortográficas básicas (por ejemplo uso de mayúsculas y minúsculas, o uso del apóstrofo), así como las convenciones ortográficas más habituales en la redacción de textos en soporte electrónico (por ejemplo SMS).</w:t>
            </w:r>
          </w:p>
        </w:tc>
        <w:tc>
          <w:tcPr>
            <w:cnfStyle w:val="000010000000"/>
            <w:tcW w:w="795" w:type="pct"/>
          </w:tcPr>
          <w:p w:rsidR="00D01EC0" w:rsidRDefault="00D01EC0" w:rsidP="00B61FE0">
            <w:pPr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Pr="00D36A6A" w:rsidRDefault="00D01EC0" w:rsidP="00B61FE0">
            <w:pPr>
              <w:jc w:val="center"/>
              <w:rPr>
                <w:rFonts w:ascii="Calibri" w:hAnsi="Calibri" w:cs="Arial"/>
                <w:kern w:val="0"/>
                <w:lang w:eastAsia="es-ES" w:bidi="ar-SA"/>
              </w:rPr>
            </w:pPr>
          </w:p>
        </w:tc>
      </w:tr>
      <w:tr w:rsidR="00D01EC0" w:rsidRPr="007702EC" w:rsidTr="00B61FE0">
        <w:trPr>
          <w:cnfStyle w:val="000000100000"/>
          <w:trHeight w:val="940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t>8. Identificar algunos elementos culturales o geográficos propios de países y culturas donde se habla la lengua extranjera y mostrar interés por conocerlos.</w:t>
            </w:r>
          </w:p>
        </w:tc>
        <w:tc>
          <w:tcPr>
            <w:cnfStyle w:val="000010000000"/>
            <w:tcW w:w="795" w:type="pct"/>
          </w:tcPr>
          <w:p w:rsidR="00D01EC0" w:rsidRDefault="00D01EC0" w:rsidP="00B61FE0">
            <w:pPr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Pr="00D36A6A" w:rsidRDefault="00D01EC0" w:rsidP="00B61FE0">
            <w:pPr>
              <w:jc w:val="center"/>
              <w:rPr>
                <w:rFonts w:ascii="Calibri" w:hAnsi="Calibri" w:cs="Arial"/>
                <w:kern w:val="0"/>
                <w:lang w:eastAsia="es-ES" w:bidi="ar-SA"/>
              </w:rPr>
            </w:pPr>
          </w:p>
        </w:tc>
      </w:tr>
      <w:tr w:rsidR="00D01EC0" w:rsidRPr="007702EC" w:rsidTr="00B61FE0">
        <w:trPr>
          <w:trHeight w:val="640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t>9. Valorar la lengua extranjera como instrumento para comunicarse y dar a conocer la cultura andaluza.</w:t>
            </w:r>
          </w:p>
        </w:tc>
        <w:tc>
          <w:tcPr>
            <w:cnfStyle w:val="000010000000"/>
            <w:tcW w:w="795" w:type="pct"/>
          </w:tcPr>
          <w:p w:rsidR="00D01EC0" w:rsidRDefault="00D01EC0" w:rsidP="00B61FE0">
            <w:pPr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cnfStyle w:val="000001000000"/>
            <w:tcW w:w="727" w:type="pct"/>
          </w:tcPr>
          <w:p w:rsidR="00D01EC0" w:rsidRPr="00D36A6A" w:rsidRDefault="00D01EC0" w:rsidP="00B61FE0">
            <w:pPr>
              <w:jc w:val="center"/>
              <w:rPr>
                <w:rFonts w:ascii="Calibri" w:hAnsi="Calibri" w:cs="Arial"/>
                <w:kern w:val="0"/>
                <w:lang w:eastAsia="es-ES" w:bidi="ar-SA"/>
              </w:rPr>
            </w:pPr>
          </w:p>
        </w:tc>
      </w:tr>
      <w:tr w:rsidR="00D01EC0" w:rsidRPr="007702EC" w:rsidTr="00B61FE0">
        <w:trPr>
          <w:cnfStyle w:val="000000100000"/>
          <w:trHeight w:val="812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  <w:r w:rsidRPr="00822B70">
              <w:rPr>
                <w:b/>
              </w:rPr>
              <w:t>TOTAL BLOQUE</w:t>
            </w:r>
          </w:p>
        </w:tc>
        <w:tc>
          <w:tcPr>
            <w:cnfStyle w:val="000010000000"/>
            <w:tcW w:w="1522" w:type="pct"/>
            <w:gridSpan w:val="2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30</w:t>
            </w:r>
          </w:p>
        </w:tc>
      </w:tr>
      <w:tr w:rsidR="00D01EC0" w:rsidRPr="007702EC" w:rsidTr="00B61FE0">
        <w:trPr>
          <w:trHeight w:val="451"/>
        </w:trPr>
        <w:tc>
          <w:tcPr>
            <w:cnfStyle w:val="001000000000"/>
            <w:tcW w:w="3478" w:type="pct"/>
          </w:tcPr>
          <w:p w:rsidR="00D01EC0" w:rsidRDefault="00D01EC0" w:rsidP="00B61FE0">
            <w:pPr>
              <w:widowControl/>
              <w:suppressAutoHyphens w:val="0"/>
              <w:spacing w:line="360" w:lineRule="auto"/>
              <w:jc w:val="both"/>
            </w:pPr>
          </w:p>
        </w:tc>
        <w:tc>
          <w:tcPr>
            <w:cnfStyle w:val="000010000000"/>
            <w:tcW w:w="1522" w:type="pct"/>
            <w:gridSpan w:val="2"/>
          </w:tcPr>
          <w:p w:rsidR="00D01EC0" w:rsidRPr="00926577" w:rsidRDefault="00D01EC0" w:rsidP="00B61FE0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TOTAL 100</w:t>
            </w:r>
          </w:p>
        </w:tc>
      </w:tr>
      <w:bookmarkEnd w:id="0"/>
    </w:tbl>
    <w:p w:rsidR="00A50E26" w:rsidRDefault="00960AE6"/>
    <w:sectPr w:rsidR="00A50E26" w:rsidSect="00142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5FBD"/>
    <w:rsid w:val="00142844"/>
    <w:rsid w:val="00325FBD"/>
    <w:rsid w:val="0046645C"/>
    <w:rsid w:val="006A373A"/>
    <w:rsid w:val="00960AE6"/>
    <w:rsid w:val="00D0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D01E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01EC0"/>
    <w:pPr>
      <w:spacing w:after="120"/>
      <w:textAlignment w:val="baseline"/>
    </w:pPr>
  </w:style>
  <w:style w:type="table" w:styleId="Tablaconefectos3D3">
    <w:name w:val="Table 3D effects 3"/>
    <w:basedOn w:val="Tablanormal"/>
    <w:rsid w:val="00D01EC0"/>
    <w:pPr>
      <w:widowControl w:val="0"/>
      <w:suppressAutoHyphens/>
      <w:spacing w:after="0" w:line="240" w:lineRule="auto"/>
    </w:pPr>
    <w:rPr>
      <w:rFonts w:ascii="Cambria" w:eastAsia="Times New Roman" w:hAnsi="Cambria" w:cs="Times New Roman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Chinchilla Gálvez</dc:creator>
  <cp:lastModifiedBy>Usuario</cp:lastModifiedBy>
  <cp:revision>2</cp:revision>
  <dcterms:created xsi:type="dcterms:W3CDTF">2018-05-25T16:08:00Z</dcterms:created>
  <dcterms:modified xsi:type="dcterms:W3CDTF">2018-05-25T16:08:00Z</dcterms:modified>
</cp:coreProperties>
</file>