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9" w:rsidRDefault="00BF08D7">
      <w:pPr>
        <w:pStyle w:val="Textoindependiente"/>
        <w:spacing w:before="56"/>
        <w:ind w:left="219"/>
      </w:pPr>
      <w:r>
        <w:t>REFLEXIONES SOBRE EL PLC</w:t>
      </w:r>
    </w:p>
    <w:p w:rsidR="003120A9" w:rsidRDefault="003120A9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49"/>
      </w:tblGrid>
      <w:tr w:rsidR="003120A9">
        <w:trPr>
          <w:trHeight w:hRule="exact" w:val="264"/>
        </w:trPr>
        <w:tc>
          <w:tcPr>
            <w:tcW w:w="8499" w:type="dxa"/>
            <w:gridSpan w:val="2"/>
            <w:shd w:val="clear" w:color="auto" w:fill="FFFF00"/>
          </w:tcPr>
          <w:p w:rsidR="003120A9" w:rsidRDefault="00BF08D7">
            <w:pPr>
              <w:pStyle w:val="TableParagraph"/>
              <w:spacing w:line="253" w:lineRule="exact"/>
              <w:ind w:left="2915" w:right="2911"/>
              <w:jc w:val="center"/>
            </w:pPr>
            <w:r>
              <w:t>PROYECTO EDUCATIVO</w:t>
            </w:r>
          </w:p>
        </w:tc>
      </w:tr>
      <w:tr w:rsidR="003120A9" w:rsidRPr="0062390E">
        <w:trPr>
          <w:trHeight w:hRule="exact" w:val="1383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ind w:right="460"/>
              <w:rPr>
                <w:lang w:val="es-ES"/>
              </w:rPr>
            </w:pPr>
            <w:r w:rsidRPr="0062390E">
              <w:rPr>
                <w:lang w:val="es-ES"/>
              </w:rPr>
              <w:t>Existen referencias en el Proyecto Educativo de tu centro a la competencia en comunicación lingüística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Sí.</w:t>
            </w:r>
          </w:p>
        </w:tc>
      </w:tr>
      <w:tr w:rsidR="003120A9">
        <w:trPr>
          <w:trHeight w:hRule="exact" w:val="518"/>
        </w:trPr>
        <w:tc>
          <w:tcPr>
            <w:tcW w:w="4250" w:type="dxa"/>
          </w:tcPr>
          <w:p w:rsidR="003120A9" w:rsidRDefault="00BF08D7">
            <w:pPr>
              <w:pStyle w:val="TableParagraph"/>
              <w:spacing w:line="253" w:lineRule="exact"/>
            </w:pPr>
            <w:r>
              <w:t xml:space="preserve">Se </w:t>
            </w:r>
            <w:proofErr w:type="spellStart"/>
            <w:r>
              <w:t>describen</w:t>
            </w:r>
            <w:proofErr w:type="spellEnd"/>
            <w:r>
              <w:t xml:space="preserve"> </w:t>
            </w:r>
            <w:proofErr w:type="spellStart"/>
            <w:r>
              <w:t>actuaciones</w:t>
            </w:r>
            <w:proofErr w:type="spellEnd"/>
            <w:r>
              <w:t xml:space="preserve"> </w:t>
            </w:r>
            <w:proofErr w:type="spellStart"/>
            <w:r>
              <w:t>concretas</w:t>
            </w:r>
            <w:proofErr w:type="spellEnd"/>
          </w:p>
        </w:tc>
        <w:tc>
          <w:tcPr>
            <w:tcW w:w="4249" w:type="dxa"/>
          </w:tcPr>
          <w:p w:rsidR="003120A9" w:rsidRDefault="0062390E">
            <w:proofErr w:type="spellStart"/>
            <w:r>
              <w:t>Proyecto</w:t>
            </w:r>
            <w:proofErr w:type="spellEnd"/>
            <w:r>
              <w:t xml:space="preserve"> Lector.</w:t>
            </w:r>
          </w:p>
        </w:tc>
      </w:tr>
      <w:tr w:rsidR="003120A9" w:rsidRPr="0062390E">
        <w:trPr>
          <w:trHeight w:hRule="exact" w:val="1090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rPr>
                <w:lang w:val="es-ES"/>
              </w:rPr>
            </w:pPr>
            <w:r w:rsidRPr="0062390E">
              <w:rPr>
                <w:lang w:val="es-ES"/>
              </w:rPr>
              <w:t>Existen mecanismos de coordinación o trabajo en relación con esta competencia.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Sí; el grupo de trabajo en sí.</w:t>
            </w:r>
          </w:p>
        </w:tc>
      </w:tr>
      <w:tr w:rsidR="003120A9" w:rsidRPr="0062390E">
        <w:trPr>
          <w:trHeight w:hRule="exact" w:val="1085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ind w:right="172"/>
              <w:jc w:val="both"/>
              <w:rPr>
                <w:lang w:val="es-ES"/>
              </w:rPr>
            </w:pPr>
            <w:r w:rsidRPr="0062390E">
              <w:rPr>
                <w:lang w:val="es-ES"/>
              </w:rPr>
              <w:t>Existen medidas establecidas para el tránsito del alumnado de una etapa a otra.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Sí, el Plan de Tránsito.</w:t>
            </w:r>
          </w:p>
        </w:tc>
      </w:tr>
      <w:tr w:rsidR="003120A9" w:rsidRPr="0062390E">
        <w:trPr>
          <w:trHeight w:hRule="exact" w:val="1090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ind w:right="365"/>
              <w:jc w:val="both"/>
              <w:rPr>
                <w:lang w:val="es-ES"/>
              </w:rPr>
            </w:pPr>
            <w:r w:rsidRPr="0062390E">
              <w:rPr>
                <w:lang w:val="es-ES"/>
              </w:rPr>
              <w:t>Existen actuaciones unificadas que garanticen una visión integrada del centro.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Sí.</w:t>
            </w:r>
          </w:p>
        </w:tc>
      </w:tr>
      <w:tr w:rsidR="003120A9" w:rsidRPr="0062390E">
        <w:trPr>
          <w:trHeight w:hRule="exact" w:val="1090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ind w:right="506"/>
              <w:jc w:val="both"/>
              <w:rPr>
                <w:lang w:val="es-ES"/>
              </w:rPr>
            </w:pPr>
            <w:r w:rsidRPr="0062390E">
              <w:rPr>
                <w:lang w:val="es-ES"/>
              </w:rPr>
              <w:t>En las programaciones</w:t>
            </w:r>
            <w:r w:rsidRPr="0062390E">
              <w:rPr>
                <w:spacing w:val="-19"/>
                <w:lang w:val="es-ES"/>
              </w:rPr>
              <w:t xml:space="preserve"> </w:t>
            </w:r>
            <w:r w:rsidRPr="0062390E">
              <w:rPr>
                <w:lang w:val="es-ES"/>
              </w:rPr>
              <w:t>didácticas están plasmados los acuerdos en cuanto a la</w:t>
            </w:r>
            <w:r w:rsidRPr="0062390E">
              <w:rPr>
                <w:spacing w:val="-13"/>
                <w:lang w:val="es-ES"/>
              </w:rPr>
              <w:t xml:space="preserve"> </w:t>
            </w:r>
            <w:r w:rsidRPr="0062390E">
              <w:rPr>
                <w:lang w:val="es-ES"/>
              </w:rPr>
              <w:t>competencia.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Sí.</w:t>
            </w:r>
          </w:p>
        </w:tc>
      </w:tr>
      <w:tr w:rsidR="003120A9">
        <w:trPr>
          <w:trHeight w:hRule="exact" w:val="264"/>
        </w:trPr>
        <w:tc>
          <w:tcPr>
            <w:tcW w:w="8499" w:type="dxa"/>
            <w:gridSpan w:val="2"/>
            <w:shd w:val="clear" w:color="auto" w:fill="FFFF00"/>
          </w:tcPr>
          <w:p w:rsidR="003120A9" w:rsidRDefault="00BF08D7">
            <w:pPr>
              <w:pStyle w:val="TableParagraph"/>
              <w:spacing w:line="253" w:lineRule="exact"/>
              <w:ind w:left="2670" w:right="0"/>
            </w:pPr>
            <w:r>
              <w:t>RESPONSABILIDAD DEL PLC</w:t>
            </w:r>
          </w:p>
        </w:tc>
      </w:tr>
      <w:tr w:rsidR="003120A9" w:rsidRPr="0062390E">
        <w:trPr>
          <w:trHeight w:hRule="exact" w:val="1968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ind w:right="426"/>
              <w:rPr>
                <w:lang w:val="es-ES"/>
              </w:rPr>
            </w:pPr>
            <w:r w:rsidRPr="0062390E">
              <w:rPr>
                <w:lang w:val="es-ES"/>
              </w:rPr>
              <w:t>El desarrollo de la competencia en comunicación lingüística una responsabilidad exclusiva del profesorado de lenguas o es una responsabilidad compartida entre todo el profesorado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Todo el profesorado.</w:t>
            </w:r>
          </w:p>
        </w:tc>
      </w:tr>
      <w:tr w:rsidR="003120A9" w:rsidRPr="0062390E">
        <w:trPr>
          <w:trHeight w:hRule="exact" w:val="518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ind w:right="334"/>
              <w:rPr>
                <w:lang w:val="es-ES"/>
              </w:rPr>
            </w:pPr>
            <w:r w:rsidRPr="0062390E">
              <w:rPr>
                <w:lang w:val="es-ES"/>
              </w:rPr>
              <w:t>La responsabilidad es exclusiva del profesorado.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No, de toda la comunidad educativa.</w:t>
            </w:r>
          </w:p>
        </w:tc>
      </w:tr>
      <w:tr w:rsidR="003120A9" w:rsidRPr="0062390E">
        <w:trPr>
          <w:trHeight w:hRule="exact" w:val="519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ind w:right="252"/>
              <w:rPr>
                <w:lang w:val="es-ES"/>
              </w:rPr>
            </w:pPr>
            <w:r w:rsidRPr="0062390E">
              <w:rPr>
                <w:lang w:val="es-ES"/>
              </w:rPr>
              <w:t>¿Es una responsabilidad también de la familia?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Sí.</w:t>
            </w:r>
          </w:p>
        </w:tc>
      </w:tr>
      <w:tr w:rsidR="003120A9">
        <w:trPr>
          <w:trHeight w:hRule="exact" w:val="504"/>
        </w:trPr>
        <w:tc>
          <w:tcPr>
            <w:tcW w:w="4250" w:type="dxa"/>
          </w:tcPr>
          <w:p w:rsidR="003120A9" w:rsidRDefault="00BF08D7">
            <w:pPr>
              <w:pStyle w:val="TableParagraph"/>
              <w:spacing w:line="248" w:lineRule="exact"/>
              <w:ind w:right="460"/>
            </w:pPr>
            <w:r>
              <w:t>¿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responsabilidad</w:t>
            </w:r>
            <w:proofErr w:type="spellEnd"/>
            <w:r>
              <w:t xml:space="preserve"> social?</w:t>
            </w:r>
          </w:p>
        </w:tc>
        <w:tc>
          <w:tcPr>
            <w:tcW w:w="4249" w:type="dxa"/>
          </w:tcPr>
          <w:p w:rsidR="003120A9" w:rsidRDefault="0062390E">
            <w:proofErr w:type="spellStart"/>
            <w:r>
              <w:t>Sí</w:t>
            </w:r>
            <w:proofErr w:type="spellEnd"/>
            <w:r>
              <w:t>.</w:t>
            </w:r>
          </w:p>
        </w:tc>
      </w:tr>
      <w:tr w:rsidR="003120A9" w:rsidRPr="0062390E">
        <w:trPr>
          <w:trHeight w:hRule="exact" w:val="264"/>
        </w:trPr>
        <w:tc>
          <w:tcPr>
            <w:tcW w:w="8499" w:type="dxa"/>
            <w:gridSpan w:val="2"/>
            <w:shd w:val="clear" w:color="auto" w:fill="FFFF00"/>
          </w:tcPr>
          <w:p w:rsidR="003120A9" w:rsidRPr="0062390E" w:rsidRDefault="00BF08D7">
            <w:pPr>
              <w:pStyle w:val="TableParagraph"/>
              <w:spacing w:line="253" w:lineRule="exact"/>
              <w:ind w:left="2055" w:right="0"/>
              <w:rPr>
                <w:lang w:val="es-ES"/>
              </w:rPr>
            </w:pPr>
            <w:r w:rsidRPr="0062390E">
              <w:rPr>
                <w:lang w:val="es-ES"/>
              </w:rPr>
              <w:t>CONTRUBUCIÓN DE T</w:t>
            </w:r>
            <w:r w:rsidRPr="0062390E">
              <w:rPr>
                <w:lang w:val="es-ES"/>
              </w:rPr>
              <w:t>ODAS LAS ÁREAS</w:t>
            </w:r>
          </w:p>
        </w:tc>
      </w:tr>
      <w:tr w:rsidR="003120A9" w:rsidRPr="0062390E">
        <w:trPr>
          <w:trHeight w:hRule="exact" w:val="1383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ind w:right="314"/>
              <w:rPr>
                <w:lang w:val="es-ES"/>
              </w:rPr>
            </w:pPr>
            <w:r w:rsidRPr="0062390E">
              <w:rPr>
                <w:lang w:val="es-ES"/>
              </w:rPr>
              <w:t>¿Quién puede contribuir al PLC Aprender el léxico especializado de las Ciencias de la Naturaleza no enriquece esta competencia?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Sí, con lecturas relacionadas con la materia.</w:t>
            </w:r>
          </w:p>
        </w:tc>
      </w:tr>
      <w:tr w:rsidR="003120A9" w:rsidRPr="0062390E">
        <w:trPr>
          <w:trHeight w:hRule="exact" w:val="264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53" w:lineRule="exact"/>
              <w:ind w:right="460"/>
              <w:rPr>
                <w:lang w:val="es-ES"/>
              </w:rPr>
            </w:pPr>
            <w:r w:rsidRPr="0062390E">
              <w:rPr>
                <w:lang w:val="es-ES"/>
              </w:rPr>
              <w:t>¿Sólo el profesorado de lenguas?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No, todo el profesorado.</w:t>
            </w:r>
          </w:p>
        </w:tc>
      </w:tr>
      <w:tr w:rsidR="003120A9" w:rsidRPr="0062390E">
        <w:trPr>
          <w:trHeight w:hRule="exact" w:val="1282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ind w:right="160"/>
              <w:rPr>
                <w:lang w:val="es-ES"/>
              </w:rPr>
            </w:pPr>
            <w:r w:rsidRPr="0062390E">
              <w:rPr>
                <w:lang w:val="es-ES"/>
              </w:rPr>
              <w:t>¿</w:t>
            </w:r>
            <w:proofErr w:type="spellStart"/>
            <w:r w:rsidRPr="0062390E">
              <w:rPr>
                <w:lang w:val="es-ES"/>
              </w:rPr>
              <w:t>Cuando</w:t>
            </w:r>
            <w:proofErr w:type="spellEnd"/>
            <w:r w:rsidRPr="0062390E">
              <w:rPr>
                <w:lang w:val="es-ES"/>
              </w:rPr>
              <w:t xml:space="preserve"> se lee un texto en Conocimiento del Medio o en Ciencias Sociales no se desarrolla la competencia en comunicación lingüística?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Sí.</w:t>
            </w:r>
          </w:p>
        </w:tc>
      </w:tr>
    </w:tbl>
    <w:p w:rsidR="003120A9" w:rsidRPr="0062390E" w:rsidRDefault="003120A9">
      <w:pPr>
        <w:rPr>
          <w:lang w:val="es-ES"/>
        </w:rPr>
        <w:sectPr w:rsidR="003120A9" w:rsidRPr="0062390E">
          <w:type w:val="continuous"/>
          <w:pgSz w:w="11910" w:h="16840"/>
          <w:pgMar w:top="1340" w:right="16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49"/>
      </w:tblGrid>
      <w:tr w:rsidR="003120A9" w:rsidRPr="0062390E">
        <w:trPr>
          <w:trHeight w:hRule="exact" w:val="773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before="1" w:line="254" w:lineRule="exact"/>
              <w:ind w:right="259"/>
              <w:rPr>
                <w:lang w:val="es-ES"/>
              </w:rPr>
            </w:pPr>
            <w:r w:rsidRPr="0062390E">
              <w:rPr>
                <w:lang w:val="es-ES"/>
              </w:rPr>
              <w:lastRenderedPageBreak/>
              <w:t>¿La interacción en Educación Física no contribuye a mejorar la competencia?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Sí.</w:t>
            </w:r>
          </w:p>
        </w:tc>
      </w:tr>
      <w:tr w:rsidR="003120A9" w:rsidRPr="0062390E">
        <w:trPr>
          <w:trHeight w:hRule="exact" w:val="1637"/>
        </w:trPr>
        <w:tc>
          <w:tcPr>
            <w:tcW w:w="4250" w:type="dxa"/>
          </w:tcPr>
          <w:p w:rsidR="003120A9" w:rsidRPr="0062390E" w:rsidRDefault="00BF08D7">
            <w:pPr>
              <w:pStyle w:val="TableParagraph"/>
              <w:spacing w:line="276" w:lineRule="auto"/>
              <w:rPr>
                <w:lang w:val="es-ES"/>
              </w:rPr>
            </w:pPr>
            <w:r w:rsidRPr="0062390E">
              <w:rPr>
                <w:lang w:val="es-ES"/>
              </w:rPr>
              <w:t>¿No es competencia comunicativa la creación artística que se realiza en Educación Plástica y Visual en Educación Secundaria?</w:t>
            </w:r>
          </w:p>
        </w:tc>
        <w:tc>
          <w:tcPr>
            <w:tcW w:w="4249" w:type="dxa"/>
          </w:tcPr>
          <w:p w:rsidR="003120A9" w:rsidRPr="0062390E" w:rsidRDefault="0062390E">
            <w:pPr>
              <w:rPr>
                <w:lang w:val="es-ES"/>
              </w:rPr>
            </w:pPr>
            <w:r>
              <w:rPr>
                <w:lang w:val="es-ES"/>
              </w:rPr>
              <w:t>Sí.</w:t>
            </w:r>
          </w:p>
        </w:tc>
      </w:tr>
    </w:tbl>
    <w:p w:rsidR="00BF08D7" w:rsidRPr="0062390E" w:rsidRDefault="00BF08D7">
      <w:pPr>
        <w:rPr>
          <w:lang w:val="es-ES"/>
        </w:rPr>
      </w:pPr>
      <w:bookmarkStart w:id="0" w:name="_GoBack"/>
      <w:bookmarkEnd w:id="0"/>
    </w:p>
    <w:sectPr w:rsidR="00BF08D7" w:rsidRPr="0062390E">
      <w:pgSz w:w="11910" w:h="16840"/>
      <w:pgMar w:top="140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A9"/>
    <w:rsid w:val="003120A9"/>
    <w:rsid w:val="0062390E"/>
    <w:rsid w:val="006B7040"/>
    <w:rsid w:val="00B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 w:righ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 w:righ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GABRIEL</cp:lastModifiedBy>
  <cp:revision>2</cp:revision>
  <dcterms:created xsi:type="dcterms:W3CDTF">2017-03-28T13:34:00Z</dcterms:created>
  <dcterms:modified xsi:type="dcterms:W3CDTF">2017-03-28T13:34:00Z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2017-03-28T00:00:00Z</vt:filetime>
  </property>
</Properties>
</file>