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andlee" w:cs="Handlee" w:eastAsia="Handlee" w:hAnsi="Handlee"/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693525" cy="462350"/>
            <wp:effectExtent b="0" l="0" r="0" t="0"/>
            <wp:docPr descr="logo_IES.jpg" id="2" name="image1.jpg"/>
            <a:graphic>
              <a:graphicData uri="http://schemas.openxmlformats.org/drawingml/2006/picture">
                <pic:pic>
                  <pic:nvPicPr>
                    <pic:cNvPr descr="logo_I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120" w:line="288" w:lineRule="auto"/>
        <w:jc w:val="center"/>
        <w:rPr>
          <w:rFonts w:ascii="Belleza" w:cs="Belleza" w:eastAsia="Belleza" w:hAnsi="Belleza"/>
          <w:b w:val="1"/>
          <w:color w:val="1c4587"/>
          <w:sz w:val="16"/>
          <w:szCs w:val="16"/>
        </w:rPr>
      </w:pPr>
      <w:r w:rsidDel="00000000" w:rsidR="00000000" w:rsidRPr="00000000">
        <w:rPr>
          <w:rFonts w:ascii="Handlee" w:cs="Handlee" w:eastAsia="Handlee" w:hAnsi="Handlee"/>
          <w:b w:val="1"/>
          <w:color w:val="0b5394"/>
          <w:sz w:val="20"/>
          <w:szCs w:val="20"/>
          <w:rtl w:val="0"/>
        </w:rPr>
        <w:t xml:space="preserve">ENGLISH DEPARTMENT  - IES HUERTA ALTA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b="0" l="0" r="0" t="0"/>
            <wp:wrapTopAndBottom distB="0" distT="0"/>
            <wp:docPr descr="línea horizontal" id="1" name="image3.png"/>
            <a:graphic>
              <a:graphicData uri="http://schemas.openxmlformats.org/drawingml/2006/picture">
                <pic:pic>
                  <pic:nvPicPr>
                    <pic:cNvPr descr="línea horizontal" id="0" name="image3.png"/>
                    <pic:cNvPicPr preferRelativeResize="0"/>
                  </pic:nvPicPr>
                  <pic:blipFill>
                    <a:blip r:embed="rId7"/>
                    <a:srcRect b="-322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before="120" w:line="240" w:lineRule="auto"/>
        <w:rPr>
          <w:rFonts w:ascii="Belleza" w:cs="Belleza" w:eastAsia="Belleza" w:hAnsi="Belleza"/>
          <w:b w:val="1"/>
          <w:color w:val="ffffff"/>
          <w:sz w:val="28"/>
          <w:szCs w:val="28"/>
          <w:shd w:fill="0b5394" w:val="clear"/>
        </w:rPr>
      </w:pPr>
      <w:r w:rsidDel="00000000" w:rsidR="00000000" w:rsidRPr="00000000">
        <w:rPr>
          <w:rFonts w:ascii="Belleza" w:cs="Belleza" w:eastAsia="Belleza" w:hAnsi="Belleza"/>
          <w:b w:val="1"/>
          <w:color w:val="ffffff"/>
          <w:sz w:val="28"/>
          <w:szCs w:val="28"/>
          <w:shd w:fill="073763" w:val="clear"/>
          <w:rtl w:val="0"/>
        </w:rPr>
        <w:t xml:space="preserve">Test Units 1</w:t>
      </w:r>
      <w:r w:rsidDel="00000000" w:rsidR="00000000" w:rsidRPr="00000000">
        <w:rPr>
          <w:rFonts w:ascii="Belleza" w:cs="Belleza" w:eastAsia="Belleza" w:hAnsi="Belleza"/>
          <w:b w:val="1"/>
          <w:color w:val="1c4587"/>
          <w:sz w:val="28"/>
          <w:szCs w:val="28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Belleza" w:cs="Belleza" w:eastAsia="Belleza" w:hAnsi="Belleza"/>
          <w:b w:val="1"/>
          <w:color w:val="ffffff"/>
          <w:sz w:val="28"/>
          <w:szCs w:val="28"/>
          <w:shd w:fill="0b5394" w:val="clear"/>
          <w:rtl w:val="0"/>
        </w:rPr>
        <w:t xml:space="preserve">Block: Listening /  level A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Fonts w:ascii="Caudex" w:cs="Caudex" w:eastAsia="Caudex" w:hAnsi="Caudex"/>
          <w:sz w:val="20"/>
          <w:szCs w:val="20"/>
          <w:rtl w:val="0"/>
        </w:rPr>
        <w:t xml:space="preserve">Listen to the recording and answer the questions according ONLY to it. Make sure you DON’T write in this piece of paper, your answer sheet is given separately. Use a PENCIL in you answer sheet. Remember that every wrong answer will be marked as -⅛ of a right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120"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120" w:line="240" w:lineRule="auto"/>
        <w:jc w:val="left"/>
        <w:rPr>
          <w:rFonts w:ascii="Belleza" w:cs="Belleza" w:eastAsia="Belleza" w:hAnsi="Belleza"/>
          <w:b w:val="1"/>
          <w:color w:val="ffffff"/>
          <w:sz w:val="16"/>
          <w:szCs w:val="16"/>
          <w:shd w:fill="0b5394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Listen to the students talk about their projects in class.</w:t>
      </w:r>
      <w:r w:rsidDel="00000000" w:rsidR="00000000" w:rsidRPr="00000000">
        <w:rPr>
          <w:rtl w:val="0"/>
        </w:rPr>
      </w:r>
    </w:p>
    <w:tbl>
      <w:tblPr>
        <w:tblStyle w:val="Table1"/>
        <w:tblW w:w="9705.826771653543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05"/>
        <w:gridCol w:w="2035.2755905511813"/>
        <w:gridCol w:w="405"/>
        <w:gridCol w:w="2035.2755905511813"/>
        <w:gridCol w:w="495"/>
        <w:gridCol w:w="1905"/>
        <w:gridCol w:w="390"/>
        <w:gridCol w:w="2035.2755905511813"/>
        <w:tblGridChange w:id="0">
          <w:tblGrid>
            <w:gridCol w:w="405"/>
            <w:gridCol w:w="2035.2755905511813"/>
            <w:gridCol w:w="405"/>
            <w:gridCol w:w="2035.2755905511813"/>
            <w:gridCol w:w="495"/>
            <w:gridCol w:w="1905"/>
            <w:gridCol w:w="390"/>
            <w:gridCol w:w="2035.2755905511813"/>
          </w:tblGrid>
        </w:tblGridChange>
      </w:tblGrid>
      <w:tr>
        <w:trPr>
          <w:trHeight w:val="20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Bokor" w:cs="Bokor" w:eastAsia="Bokor" w:hAnsi="Bokor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topic does Kieran talk about?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wind farms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solar-powered energy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the greenhouse effect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an eco-friendly company</w:t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Bokor" w:cs="Bokor" w:eastAsia="Bokor" w:hAnsi="Bokor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topic does Finley talk about?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wind farms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towers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ships</w:t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topic does Jess talk about?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wind farms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towers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ships</w:t>
            </w:r>
          </w:p>
        </w:tc>
      </w:tr>
      <w:t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Using hot air as fuel is an idea being developed by a company from ____________.</w:t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Spain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Australia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Austria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France</w:t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The idea has already been used in ___________.</w:t>
            </w:r>
          </w:p>
        </w:tc>
      </w:tr>
      <w:tr>
        <w:trPr>
          <w:trHeight w:val="50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Germany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Portugal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Spain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 Australia</w:t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The hot air fuel can generate enough electricity to power up to ____________ homes.</w:t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10,000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200,000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20,000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100,000</w:t>
            </w:r>
          </w:p>
        </w:tc>
      </w:tr>
      <w:t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According to Finley, a lot of people __________ living near wind farms.</w:t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hate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like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love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can’t stand</w:t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According to Finley, wind farms located in the ________ are the most powerful type of wind farms.</w:t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seas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mountains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desert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Belleza" w:cs="Belleza" w:eastAsia="Belleza" w:hAnsi="Bellez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color w:val="434343"/>
                <w:sz w:val="20"/>
                <w:szCs w:val="20"/>
                <w:rtl w:val="0"/>
              </w:rPr>
              <w:t xml:space="preserve">cities</w:t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The idea that Jess talks about can help reduce the cost of __________.</w:t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cargo  ships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fuel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electricity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coal</w:t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  <w:sz w:val="20"/>
                <w:szCs w:val="20"/>
              </w:rPr>
            </w:pPr>
            <w:r w:rsidDel="00000000" w:rsidR="00000000" w:rsidRPr="00000000">
              <w:rPr>
                <w:rFonts w:ascii="Bokor" w:cs="Bokor" w:eastAsia="Bokor" w:hAnsi="Bokor"/>
                <w:sz w:val="20"/>
                <w:szCs w:val="20"/>
                <w:rtl w:val="0"/>
              </w:rPr>
              <w:t xml:space="preserve">Jess talks about an eco-friendly form of transporting _________</w:t>
            </w:r>
          </w:p>
        </w:tc>
      </w:tr>
      <w:tr>
        <w:trPr>
          <w:trHeight w:val="56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people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products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clothing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0"/>
                <w:szCs w:val="20"/>
                <w:rtl w:val="0"/>
              </w:rPr>
              <w:t xml:space="preserve">animals</w:t>
            </w:r>
          </w:p>
        </w:tc>
      </w:tr>
    </w:tbl>
    <w:p w:rsidR="00000000" w:rsidDel="00000000" w:rsidP="00000000" w:rsidRDefault="00000000" w:rsidRPr="00000000" w14:paraId="000000A7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before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before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before="120" w:line="240" w:lineRule="auto"/>
        <w:rPr>
          <w:rFonts w:ascii="Calibri" w:cs="Calibri" w:eastAsia="Calibri" w:hAnsi="Calibri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before="120" w:line="240" w:lineRule="auto"/>
        <w:rPr>
          <w:rFonts w:ascii="Calibri" w:cs="Calibri" w:eastAsia="Calibri" w:hAnsi="Calibri"/>
          <w:b w:val="1"/>
          <w:color w:val="07376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28"/>
          <w:szCs w:val="28"/>
          <w:rtl w:val="0"/>
        </w:rPr>
        <w:t xml:space="preserve">KEY</w:t>
      </w:r>
    </w:p>
    <w:tbl>
      <w:tblPr>
        <w:tblStyle w:val="Table2"/>
        <w:tblW w:w="1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55"/>
        <w:tblGridChange w:id="0">
          <w:tblGrid>
            <w:gridCol w:w="510"/>
            <w:gridCol w:w="555"/>
          </w:tblGrid>
        </w:tblGridChange>
      </w:tblGrid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C0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020.472440944882" w:top="566.9291338582677" w:left="1043.1496062992128" w:right="975.1181102362206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elleza">
    <w:embedRegular w:fontKey="{00000000-0000-0000-0000-000000000000}" r:id="rId1" w:subsetted="0"/>
  </w:font>
  <w:font w:name="Caudex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Bokor">
    <w:embedRegular w:fontKey="{00000000-0000-0000-0000-000000000000}" r:id="rId6" w:subsetted="0"/>
  </w:font>
  <w:font w:name="Handle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Caudex-regular.ttf"/><Relationship Id="rId3" Type="http://schemas.openxmlformats.org/officeDocument/2006/relationships/font" Target="fonts/Caudex-bold.ttf"/><Relationship Id="rId4" Type="http://schemas.openxmlformats.org/officeDocument/2006/relationships/font" Target="fonts/Caudex-italic.ttf"/><Relationship Id="rId5" Type="http://schemas.openxmlformats.org/officeDocument/2006/relationships/font" Target="fonts/Caudex-boldItalic.ttf"/><Relationship Id="rId6" Type="http://schemas.openxmlformats.org/officeDocument/2006/relationships/font" Target="fonts/Bokor-regular.ttf"/><Relationship Id="rId7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