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omfortaa" w:cs="Comfortaa" w:eastAsia="Comfortaa" w:hAnsi="Comfortaa"/>
          <w:b w:val="1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b w:val="1"/>
          <w:sz w:val="20"/>
          <w:szCs w:val="20"/>
          <w:rtl w:val="0"/>
        </w:rPr>
        <w:tab/>
        <w:t xml:space="preserve">DISEÑO DE UNA TAREA COMPETENCIAL</w:t>
      </w:r>
    </w:p>
    <w:p w:rsidR="00000000" w:rsidDel="00000000" w:rsidP="00000000" w:rsidRDefault="00000000" w:rsidRPr="00000000" w14:paraId="00000002">
      <w:pPr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Puedes imaginar tareas competenciales de diversas formas: eligiendo una tarea que tenga una aplicación real, utilizando  las que ya haces en tus clases, analizando un criterio de evaluación de tu materia, pensando en un producto final,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Describe una tarea que desarrolle competencias clave y que cumpla las siguientes condiciones: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Que sea una situación-problema a resolver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Que suponga un conflicto cognitivo (enigmas, retos, preguntas, desafíos,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Que tenga una aplicación lo más real posible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contextualSpacing w:val="0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0"/>
        <w:jc w:val="both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Divide o secuencia la tarea en varias fases. Prueba a plantear una primera fase con una introducción a la tarea que despierte su atención, que emocione o apasione, donde se pueda usar la provocación, el asombro, el humor o el suspense. Intenta implementar metodologías activas en algunas fases.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contextualSpacing w:val="0"/>
        <w:jc w:val="both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Define sólo aquellas fases que quieras evaluar (teniendo en cuenta el tiempo empleado y tu disponibilidad)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Define el indicador para esas fases, entendido como el referente de evaluación más concreto. ¿Qué espero que realice el alumnado en esta fase?. Este indicador debe ser fácilmente medible.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Relaciona cada fase que vaya a ser evaluada con un criterio de evaluación o estándar de aprendizaje y la 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Define instrumentos de evaluación distintos: Listas de control, escalas de estimación, rúbricas, diarios, dianas, portafolios,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Utiliza las tres estrategias de evaluación: autoevaluación (A), coevaluación (C) y heteroevaluación (H)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5.0" w:type="dxa"/>
        <w:jc w:val="left"/>
        <w:tblInd w:w="0.0" w:type="dxa"/>
        <w:tblLayout w:type="fixed"/>
        <w:tblLook w:val="0000"/>
      </w:tblPr>
      <w:tblGrid>
        <w:gridCol w:w="4845"/>
        <w:gridCol w:w="3780"/>
        <w:gridCol w:w="1485"/>
        <w:gridCol w:w="2055"/>
        <w:gridCol w:w="1275"/>
        <w:gridCol w:w="1875"/>
        <w:tblGridChange w:id="0">
          <w:tblGrid>
            <w:gridCol w:w="4845"/>
            <w:gridCol w:w="3780"/>
            <w:gridCol w:w="1485"/>
            <w:gridCol w:w="2055"/>
            <w:gridCol w:w="1275"/>
            <w:gridCol w:w="1875"/>
          </w:tblGrid>
        </w:tblGridChange>
      </w:tblGrid>
      <w:tr>
        <w:trPr>
          <w:trHeight w:val="70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PROFESOR/A:                                                                                                   MATERIA:                                     CURSO: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DE LA TAREA:   </w:t>
            </w:r>
          </w:p>
        </w:tc>
      </w:tr>
      <w:tr>
        <w:trPr>
          <w:trHeight w:val="192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DESCRIPCIÓN DE LA TAREA: 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FASES DE LA TAREA 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(sólo las que van a ser evaluadas)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INDICADOR</w:t>
            </w:r>
          </w:p>
          <w:p w:rsidR="00000000" w:rsidDel="00000000" w:rsidP="00000000" w:rsidRDefault="00000000" w:rsidRPr="00000000" w14:paraId="0000002B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(referente de evaluación fácilmente medible)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CRITERIO DE EVALUACIÓN/ ESTÁNDAR DE APRENDIZAJE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INSTRUMENTO DE EVALUACIÓN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ESTRATEGIA DE EVALUACIÓN (A, C, H)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9900" w:val="clear"/>
            <w:tcMar>
              <w:top w:w="15.0" w:type="dxa"/>
              <w:left w:w="66.0" w:type="dxa"/>
              <w:bottom w:w="0.0" w:type="dxa"/>
              <w:right w:w="6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0"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CC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66.0" w:type="dxa"/>
              <w:bottom w:w="0.0" w:type="dxa"/>
              <w:right w:w="66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jc w:val="both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/>
      <w:pgMar w:bottom="566.9291338582677" w:top="1133.8582677165355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contextualSpacing w:val="0"/>
      <w:jc w:val="right"/>
      <w:rPr>
        <w:i w:val="1"/>
      </w:rPr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i w:val="1"/>
        <w:sz w:val="18"/>
        <w:szCs w:val="18"/>
        <w:rtl w:val="0"/>
      </w:rPr>
      <w:t xml:space="preserve">Raúl Landa Navarro</w:t>
    </w:r>
    <w:r w:rsidDel="00000000" w:rsidR="00000000" w:rsidRPr="00000000">
      <w:rPr>
        <w:i w:val="1"/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838200" cy="2952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