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1"/>
        <w:shd w:val="clear" w:color="auto" w:fill="c6d9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ACTA DE REUNI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N GRUPO DE TRABAJO </w:t>
      </w: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84"/>
        <w:gridCol w:w="1418"/>
        <w:gridCol w:w="5276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digo GT: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194128GT078</w:t>
            </w:r>
          </w:p>
        </w:tc>
        <w:tc>
          <w:tcPr>
            <w:tcW w:type="dxa" w:w="66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Nombre del proyecto: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ONDA PI (taller de resoluci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problemas)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Centro: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CEIPS VIRGEN DE GRACIA</w:t>
            </w:r>
          </w:p>
        </w:tc>
        <w:tc>
          <w:tcPr>
            <w:tcW w:type="dxa" w:w="5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Localidad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 EL RONQUILLO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7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Coordinador/a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Adela MATEOS de Tejada Ruiz</w:t>
            </w:r>
          </w:p>
        </w:tc>
      </w:tr>
    </w:tbl>
    <w:p>
      <w:pPr>
        <w:pStyle w:val="Norm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  <w:sz w:val="16"/>
          <w:szCs w:val="16"/>
        </w:rPr>
      </w:pPr>
    </w:p>
    <w:tbl>
      <w:tblPr>
        <w:tblW w:w="9643" w:type="dxa"/>
        <w:jc w:val="left"/>
        <w:tblInd w:w="1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5218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25"/>
            <w:vMerge w:val="restart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D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11/03/19</w:t>
            </w:r>
          </w:p>
        </w:tc>
        <w:tc>
          <w:tcPr>
            <w:tcW w:type="dxa" w:w="521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Hora comienzo: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 4:30h.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25"/>
            <w:vMerge w:val="continue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</w:tcPr>
          <w:p/>
        </w:tc>
        <w:tc>
          <w:tcPr>
            <w:tcW w:type="dxa" w:w="521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Hora finalizaci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5:30 h.</w:t>
            </w:r>
          </w:p>
        </w:tc>
      </w:tr>
      <w:tr>
        <w:tblPrEx>
          <w:shd w:val="clear" w:color="auto" w:fill="ced7e7"/>
        </w:tblPrEx>
        <w:trPr>
          <w:trHeight w:val="1906" w:hRule="atLeast"/>
        </w:trPr>
        <w:tc>
          <w:tcPr>
            <w:tcW w:type="dxa" w:w="9643"/>
            <w:gridSpan w:val="2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b w:val="1"/>
                <w:bCs w:val="1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TIPO DE REUNI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b w:val="1"/>
                <w:bCs w:val="1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lang w:val="es-ES_tradnl"/>
              </w:rPr>
            </w:pPr>
            <w:r>
              <w:rPr>
                <w:rStyle w:val="Ninguno"/>
                <w:lang w:val="es-ES_tradnl"/>
              </w:rPr>
              <w:tab/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u w:val="single"/>
                <w:rtl w:val="0"/>
                <w:lang w:val="es-ES_tradnl"/>
              </w:rPr>
              <w:t>Informativa</w:t>
            </w: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  <w:tab/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u w:val="single"/>
                <w:rtl w:val="0"/>
                <w:lang w:val="es-ES_tradnl"/>
              </w:rPr>
              <w:t>Formativa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ab/>
              <w:tab/>
              <w:t>Planificaci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</w:t>
            </w: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sz w:val="16"/>
                <w:szCs w:val="16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lang w:val="es-ES_tradnl"/>
              </w:rPr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ab/>
              <w:t>Toma de acuerdos</w:t>
              <w:tab/>
              <w:tab/>
              <w:t>Producci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documentos</w:t>
              <w:tab/>
            </w:r>
          </w:p>
        </w:tc>
      </w:tr>
    </w:tbl>
    <w:p>
      <w:pPr>
        <w:pStyle w:val="Norm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" w:hanging="42"/>
        <w:rPr>
          <w:rFonts w:ascii="Calibri" w:cs="Calibri" w:hAnsi="Calibri" w:eastAsia="Calibri"/>
          <w:sz w:val="16"/>
          <w:szCs w:val="16"/>
        </w:rPr>
      </w:pPr>
    </w:p>
    <w:p>
      <w:pPr>
        <w:pStyle w:val="Cuerpo"/>
        <w:tabs>
          <w:tab w:val="left" w:pos="7009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</w:p>
    <w:tbl>
      <w:tblPr>
        <w:tblW w:w="9643" w:type="dxa"/>
        <w:jc w:val="left"/>
        <w:tblInd w:w="1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4"/>
        <w:gridCol w:w="3214"/>
        <w:gridCol w:w="3215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9643"/>
            <w:gridSpan w:val="3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ASISTENTES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14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  <w:tc>
          <w:tcPr>
            <w:tcW w:type="dxa" w:w="3214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  <w:tc>
          <w:tcPr>
            <w:tcW w:type="dxa" w:w="3215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Alba Mesa Rodr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guez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Mar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ngeles Se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o Hidalgo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Ana Isabel Fern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ndez Jim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nez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Alicia Calvo Montero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Carmen Matilde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zquez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zquez 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Vanessa Mu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oz Fuentes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Reyes del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guila Casares Franco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Francisco J. 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nchez Rodr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Vanesa Mar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 Molero Ponce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Milagros Gil Vizca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Jos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Manuel Mart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nez 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nchez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Celia Magro Serrano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Nicol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s Brito Gonz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tabs>
          <w:tab w:val="left" w:pos="7009"/>
          <w:tab w:val="left" w:pos="7090"/>
          <w:tab w:val="left" w:pos="7799"/>
          <w:tab w:val="left" w:pos="8508"/>
          <w:tab w:val="left" w:pos="9217"/>
        </w:tabs>
        <w:bidi w:val="0"/>
        <w:ind w:left="42" w:right="0" w:hanging="42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ORDEN DEL D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A: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Style w:val="Ninguno"/>
          <w:rFonts w:ascii="Calibri" w:cs="Calibri" w:hAnsi="Calibri" w:eastAsia="Calibri"/>
          <w:b w:val="1"/>
          <w:bCs w:val="1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Objetivos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Juegos y estrategias de c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lculo mental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Magia Matem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tica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Textos matem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ticos para el desarrollo de la lectura comprensiva en Primaria.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Peque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ñ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as investigaciones matem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ticas.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Tarea para la pr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xima reuni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n. Memoria de Seguimiento.</w:t>
      </w: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8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9638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DESARROLLO DE LA SESI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8050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·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pt-PT"/>
              </w:rPr>
              <w:t>Objetivos: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-Iniciaci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 a la magia matem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tica como recurso educativo y motivador.</w:t>
            </w:r>
          </w:p>
          <w:p>
            <w:pPr>
              <w:pStyle w:val="Cuerpo"/>
              <w:bidi w:val="0"/>
              <w:rPr>
                <w:rStyle w:val="Ninguno"/>
                <w:rFonts w:ascii="Trebuchet MS" w:cs="Trebuchet MS" w:hAnsi="Trebuchet MS" w:eastAsia="Trebuchet MS"/>
                <w:b w:val="1"/>
                <w:bCs w:val="1"/>
                <w:sz w:val="24"/>
                <w:szCs w:val="24"/>
              </w:rPr>
            </w:pPr>
            <w:r>
              <w:rPr>
                <w:rFonts w:cs="Arial Unicode MS" w:eastAsia="Arial Unicode MS"/>
                <w:rtl w:val="0"/>
                <w:lang w:val="es-ES_tradnl"/>
              </w:rPr>
              <w:t>-</w:t>
            </w:r>
            <w:r>
              <w:rPr>
                <w:rStyle w:val="Ninguno"/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Conocer otra estrategia de c</w:t>
            </w:r>
            <w:r>
              <w:rPr>
                <w:rStyle w:val="Ninguno"/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lculo mental as</w:t>
            </w:r>
            <w:r>
              <w:rPr>
                <w:rStyle w:val="Ninguno"/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como nuevos juegos de c</w:t>
            </w:r>
            <w:r>
              <w:rPr>
                <w:rStyle w:val="Ninguno"/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á</w:t>
            </w:r>
            <w:r>
              <w:rPr>
                <w:rStyle w:val="Ninguno"/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lculo.</w:t>
            </w:r>
          </w:p>
          <w:p>
            <w:pPr>
              <w:pStyle w:val="Cuerpo"/>
              <w:rPr>
                <w:rFonts w:ascii="Trebuchet MS" w:cs="Trebuchet MS" w:hAnsi="Trebuchet MS" w:eastAsia="Trebuchet MS"/>
                <w:b w:val="1"/>
                <w:bCs w:val="1"/>
                <w:sz w:val="24"/>
                <w:szCs w:val="24"/>
              </w:rPr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-Continuar trabajando la resoluci</w:t>
            </w:r>
            <w:r>
              <w:rPr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n de problemas por medio de fichas de comprensi</w:t>
            </w:r>
            <w:r>
              <w:rPr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n lectora de los mismos.</w:t>
            </w:r>
          </w:p>
          <w:p>
            <w:pPr>
              <w:pStyle w:val="Cuerpo"/>
              <w:rPr>
                <w:rFonts w:ascii="Trebuchet MS" w:cs="Trebuchet MS" w:hAnsi="Trebuchet MS" w:eastAsia="Trebuchet MS"/>
                <w:b w:val="1"/>
                <w:bCs w:val="1"/>
                <w:sz w:val="24"/>
                <w:szCs w:val="24"/>
              </w:rPr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-Continuar con las peque</w:t>
            </w:r>
            <w:r>
              <w:rPr>
                <w:rFonts w:ascii="Trebuchet MS" w:hAnsi="Trebuchet MS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as investigaciones.</w:t>
            </w:r>
          </w:p>
          <w:p>
            <w:pPr>
              <w:pStyle w:val="Cuerpo"/>
              <w:rPr>
                <w:rFonts w:ascii="Trebuchet MS" w:cs="Trebuchet MS" w:hAnsi="Trebuchet MS" w:eastAsia="Trebuchet MS"/>
                <w:b w:val="1"/>
                <w:bCs w:val="1"/>
                <w:sz w:val="24"/>
                <w:szCs w:val="24"/>
              </w:rPr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rtl w:val="0"/>
                <w:lang w:val="es-ES_tradnl"/>
              </w:rPr>
              <w:t>-MEMORIA DE SEGUIMIENTO DEL GT.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·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Exposici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 de juegos de c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lculo mental: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-Jueg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o de los tapones.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-Supermente.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·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pt-PT"/>
              </w:rPr>
              <w:t>Estrategias de c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lculo mental: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Restar descomponiendo.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·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 xml:space="preserve"> Magia Matem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tica.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EDUCANDO CON MAGIA.El ilusinismo como recurso did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ctico. Dudo Ruiz Dom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nguez</w:t>
            </w:r>
          </w:p>
          <w:p>
            <w:pPr>
              <w:pStyle w:val="Cuerp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s-ES_tradnl"/>
              </w:rPr>
              <w:t>-MAGIA MATEM</w:t>
            </w:r>
            <w:r>
              <w:rPr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b w:val="1"/>
                <w:bCs w:val="1"/>
                <w:rtl w:val="0"/>
                <w:lang w:val="es-ES_tradnl"/>
              </w:rPr>
              <w:t>TICA. Sorpr</w:t>
            </w:r>
            <w:r>
              <w:rPr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b w:val="1"/>
                <w:bCs w:val="1"/>
                <w:rtl w:val="0"/>
                <w:lang w:val="es-ES_tradnl"/>
              </w:rPr>
              <w:t>ndete, disfruta y aprende. Miquel Cap</w:t>
            </w:r>
            <w:r>
              <w:rPr>
                <w:b w:val="1"/>
                <w:bCs w:val="1"/>
                <w:rtl w:val="0"/>
                <w:lang w:val="es-ES_tradnl"/>
              </w:rPr>
              <w:t xml:space="preserve">ó </w:t>
            </w:r>
            <w:r>
              <w:rPr>
                <w:b w:val="1"/>
                <w:bCs w:val="1"/>
                <w:rtl w:val="0"/>
                <w:lang w:val="es-ES_tradnl"/>
              </w:rPr>
              <w:t>Dolt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·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Lectura comprensiva para la resoluci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 de problemas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-60 TEXTOS matem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ticos para el desarrollo de la lectura comprensiva en Primaria. Orientaci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 xml:space="preserve">n 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ndujar.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rPr>
                <w:rStyle w:val="Ninguno"/>
                <w:b w:val="1"/>
                <w:bCs w:val="1"/>
              </w:rPr>
            </w:pPr>
            <w:r>
              <w:rPr>
                <w:rStyle w:val="Ninguno"/>
                <w:rFonts w:cs="Arial Unicode MS" w:eastAsia="Arial Unicode MS"/>
                <w:b w:val="1"/>
                <w:bCs w:val="1"/>
                <w:rtl w:val="0"/>
                <w:lang w:val="es-ES_tradnl"/>
              </w:rPr>
              <w:t>Problemas y comprensi</w:t>
            </w:r>
            <w:r>
              <w:rPr>
                <w:rStyle w:val="Ninguno"/>
                <w:rFonts w:cs="Arial Unicode MS" w:eastAsia="Arial Unicode MS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cs="Arial Unicode MS" w:eastAsia="Arial Unicode MS"/>
                <w:b w:val="1"/>
                <w:bCs w:val="1"/>
                <w:rtl w:val="0"/>
                <w:lang w:val="es-ES_tradnl"/>
              </w:rPr>
              <w:t>n lectora. Pinterest</w:t>
            </w:r>
          </w:p>
          <w:p>
            <w:pPr>
              <w:pStyle w:val="Cuerpo"/>
              <w:bidi w:val="0"/>
              <w:rPr>
                <w:rStyle w:val="Ninguno"/>
                <w:b w:val="1"/>
                <w:bCs w:val="1"/>
              </w:rPr>
            </w:pPr>
          </w:p>
          <w:p>
            <w:pPr>
              <w:pStyle w:val="Cuerpo"/>
              <w:bidi w:val="0"/>
            </w:pPr>
            <w:r>
              <w:rPr>
                <w:rStyle w:val="Ninguno"/>
                <w:rFonts w:cs="Arial Unicode MS" w:eastAsia="Arial Unicode MS" w:hint="default"/>
                <w:b w:val="1"/>
                <w:bCs w:val="1"/>
                <w:rtl w:val="0"/>
                <w:lang w:val="es-ES_tradnl"/>
              </w:rPr>
              <w:t>·</w:t>
            </w:r>
            <w:r>
              <w:rPr>
                <w:rStyle w:val="Ninguno"/>
                <w:rFonts w:cs="Arial Unicode MS" w:eastAsia="Arial Unicode MS"/>
                <w:b w:val="1"/>
                <w:bCs w:val="1"/>
                <w:rtl w:val="0"/>
                <w:lang w:val="es-ES_tradnl"/>
              </w:rPr>
              <w:t>Peque</w:t>
            </w:r>
            <w:r>
              <w:rPr>
                <w:rStyle w:val="Ninguno"/>
                <w:rFonts w:cs="Arial Unicode MS" w:eastAsia="Arial Unicode MS" w:hint="default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cs="Arial Unicode MS" w:eastAsia="Arial Unicode MS"/>
                <w:b w:val="1"/>
                <w:bCs w:val="1"/>
                <w:rtl w:val="0"/>
                <w:lang w:val="es-ES_tradnl"/>
              </w:rPr>
              <w:t>as Investigaciones Matem</w:t>
            </w:r>
            <w:r>
              <w:rPr>
                <w:rStyle w:val="Ninguno"/>
                <w:rFonts w:cs="Arial Unicode MS" w:eastAsia="Arial Unicode MS" w:hint="default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cs="Arial Unicode MS" w:eastAsia="Arial Unicode MS"/>
                <w:b w:val="1"/>
                <w:bCs w:val="1"/>
                <w:rtl w:val="0"/>
                <w:lang w:val="es-ES_tradnl"/>
              </w:rPr>
              <w:t>ticas.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638"/>
            <w:tcBorders>
              <w:top w:val="single" w:color="00000a" w:sz="4" w:space="0" w:shadow="0" w:frame="0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ACUERDOS ADOPTADOS</w:t>
            </w:r>
          </w:p>
        </w:tc>
      </w:tr>
      <w:tr>
        <w:tblPrEx>
          <w:shd w:val="clear" w:color="auto" w:fill="ced7e7"/>
        </w:tblPrEx>
        <w:trPr>
          <w:trHeight w:val="2810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Incorporar al horario de clases semanales de manera sistem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tica: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-Practicar el c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lculo mental uno o dos d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as a la semana empleando alguno de los juegos aprendidos o similares.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-Utilizar las t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cnicas de trabajo grupal  y los textos de lectura comprensiva para la resoluci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n de problemas un d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a a la semana.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-Incorporar la magia matem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tica a nuestras aulas.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-Realizar y crear peque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as investigaciones para realizar con nuestro alumnado.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-Adaptar el material presentado a los distintos niveles y caracter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sticas de los alumnos.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638"/>
            <w:tcBorders>
              <w:top w:val="single" w:color="00000a" w:sz="4" w:space="0" w:shadow="0" w:frame="0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FECHA DE LA PR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XIMA REUNI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//19</w:t>
            </w:r>
          </w:p>
        </w:tc>
      </w:tr>
    </w:tbl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</w:tabs>
        <w:ind w:left="648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ontenido de la tabla">
    <w:name w:val="Contenido de la tabla"/>
    <w:next w:val="Contenido de la tabl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