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96" w:rsidRDefault="00D65A96" w:rsidP="00D65A96">
      <w:pPr>
        <w:jc w:val="center"/>
        <w:rPr>
          <w:rFonts w:ascii="Batang" w:eastAsia="Batang" w:hAnsi="Batang"/>
          <w:b/>
          <w:noProof/>
          <w:sz w:val="72"/>
          <w:szCs w:val="72"/>
          <w:lang w:eastAsia="es-ES"/>
        </w:rPr>
      </w:pPr>
      <w:r w:rsidRPr="00D65A96">
        <w:rPr>
          <w:rFonts w:ascii="Batang" w:eastAsia="Batang" w:hAnsi="Batang"/>
          <w:b/>
          <w:noProof/>
          <w:sz w:val="72"/>
          <w:szCs w:val="72"/>
          <w:lang w:eastAsia="es-ES"/>
        </w:rPr>
        <w:t>AUTOMATH</w:t>
      </w:r>
    </w:p>
    <w:p w:rsidR="00D65A96" w:rsidRDefault="00D65A96" w:rsidP="00D65A96">
      <w:pPr>
        <w:rPr>
          <w:rFonts w:ascii="Batang" w:eastAsia="Batang" w:hAnsi="Batang"/>
          <w:b/>
          <w:noProof/>
          <w:sz w:val="28"/>
          <w:szCs w:val="28"/>
          <w:lang w:eastAsia="es-ES"/>
        </w:rPr>
      </w:pPr>
      <w:r>
        <w:rPr>
          <w:rFonts w:ascii="Batang" w:eastAsia="Batang" w:hAnsi="Batang"/>
          <w:b/>
          <w:noProof/>
          <w:sz w:val="28"/>
          <w:szCs w:val="28"/>
          <w:lang w:eastAsia="es-ES"/>
        </w:rPr>
        <w:t>Con este juego matemático se pueden trabajar las siguientes actividades que se propusieron el el criterio de evaluación 2.</w:t>
      </w:r>
    </w:p>
    <w:p w:rsidR="00D65A96" w:rsidRDefault="00D65A96" w:rsidP="00D65A96">
      <w:pPr>
        <w:pStyle w:val="Prrafodelista"/>
        <w:numPr>
          <w:ilvl w:val="0"/>
          <w:numId w:val="1"/>
        </w:numPr>
        <w:rPr>
          <w:rFonts w:ascii="Batang" w:eastAsia="Batang" w:hAnsi="Batang"/>
          <w:b/>
          <w:noProof/>
          <w:sz w:val="28"/>
          <w:szCs w:val="28"/>
          <w:lang w:eastAsia="es-ES"/>
        </w:rPr>
      </w:pPr>
      <w:r>
        <w:rPr>
          <w:rFonts w:ascii="Batang" w:eastAsia="Batang" w:hAnsi="Batang"/>
          <w:b/>
          <w:noProof/>
          <w:sz w:val="28"/>
          <w:szCs w:val="28"/>
          <w:lang w:eastAsia="es-ES"/>
        </w:rPr>
        <w:t>Seriación de colores y tipos de medios de transporte.</w:t>
      </w:r>
    </w:p>
    <w:p w:rsidR="00D65A96" w:rsidRDefault="00D65A96" w:rsidP="00D65A96">
      <w:pPr>
        <w:pStyle w:val="Prrafodelista"/>
        <w:numPr>
          <w:ilvl w:val="0"/>
          <w:numId w:val="1"/>
        </w:numPr>
        <w:rPr>
          <w:rFonts w:ascii="Batang" w:eastAsia="Batang" w:hAnsi="Batang"/>
          <w:b/>
          <w:noProof/>
          <w:sz w:val="28"/>
          <w:szCs w:val="28"/>
          <w:lang w:eastAsia="es-ES"/>
        </w:rPr>
      </w:pPr>
      <w:r>
        <w:rPr>
          <w:rFonts w:ascii="Batang" w:eastAsia="Batang" w:hAnsi="Batang"/>
          <w:b/>
          <w:noProof/>
          <w:sz w:val="28"/>
          <w:szCs w:val="28"/>
          <w:lang w:eastAsia="es-ES"/>
        </w:rPr>
        <w:t>Cuadros de doble entrada según color y vehículos.</w:t>
      </w:r>
    </w:p>
    <w:p w:rsidR="00D65A96" w:rsidRPr="00D65A96" w:rsidRDefault="00D65A96" w:rsidP="00D65A96">
      <w:pPr>
        <w:pStyle w:val="Prrafodelista"/>
        <w:numPr>
          <w:ilvl w:val="0"/>
          <w:numId w:val="1"/>
        </w:numPr>
        <w:rPr>
          <w:rFonts w:ascii="Batang" w:eastAsia="Batang" w:hAnsi="Batang"/>
          <w:b/>
          <w:noProof/>
          <w:sz w:val="28"/>
          <w:szCs w:val="28"/>
          <w:lang w:eastAsia="es-ES"/>
        </w:rPr>
      </w:pPr>
      <w:r>
        <w:rPr>
          <w:rFonts w:ascii="Batang" w:eastAsia="Batang" w:hAnsi="Batang"/>
          <w:b/>
          <w:noProof/>
          <w:sz w:val="28"/>
          <w:szCs w:val="28"/>
          <w:lang w:eastAsia="es-ES"/>
        </w:rPr>
        <w:t>Orientación espacial.</w:t>
      </w:r>
    </w:p>
    <w:p w:rsidR="00D65A96" w:rsidRDefault="00D65A96">
      <w:r>
        <w:rPr>
          <w:noProof/>
          <w:lang w:eastAsia="es-ES"/>
        </w:rPr>
        <w:drawing>
          <wp:inline distT="0" distB="0" distL="0" distR="0">
            <wp:extent cx="4248150" cy="2686050"/>
            <wp:effectExtent l="0" t="0" r="0" b="0"/>
            <wp:docPr id="3" name="Imagen 3" descr="C:\Users\Usuario\Desktop\2018-19 cl amarilla\abn\20190206_12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2018-19 cl amarilla\abn\20190206_1255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21" r="8419"/>
                    <a:stretch/>
                  </pic:blipFill>
                  <pic:spPr bwMode="auto">
                    <a:xfrm>
                      <a:off x="0" y="0"/>
                      <a:ext cx="4251291" cy="268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5A96" w:rsidRDefault="00D65A96"/>
    <w:p w:rsidR="00D65A96" w:rsidRDefault="00D65A96">
      <w:r>
        <w:rPr>
          <w:noProof/>
          <w:lang w:eastAsia="es-ES"/>
        </w:rPr>
        <w:drawing>
          <wp:inline distT="0" distB="0" distL="0" distR="0">
            <wp:extent cx="4886324" cy="2914650"/>
            <wp:effectExtent l="0" t="0" r="0" b="0"/>
            <wp:docPr id="2" name="Imagen 2" descr="C:\Users\Usuario\Desktop\2018-19 cl amarilla\abn\20190206_12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2018-19 cl amarilla\abn\20190206_1254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6" b="8512"/>
                    <a:stretch/>
                  </pic:blipFill>
                  <pic:spPr bwMode="auto">
                    <a:xfrm>
                      <a:off x="0" y="0"/>
                      <a:ext cx="4889500" cy="291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EC2" w:rsidRDefault="001C4EC2">
      <w:bookmarkStart w:id="0" w:name="_GoBack"/>
      <w:bookmarkEnd w:id="0"/>
    </w:p>
    <w:sectPr w:rsidR="001C4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C2EFD"/>
    <w:multiLevelType w:val="hybridMultilevel"/>
    <w:tmpl w:val="E82EBD12"/>
    <w:lvl w:ilvl="0" w:tplc="20549210"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96"/>
    <w:rsid w:val="001C4EC2"/>
    <w:rsid w:val="005C1B96"/>
    <w:rsid w:val="00D6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A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5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A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5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212D-756B-49C2-BFEB-A6A48C2E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2019-04-23T09:59:00Z</dcterms:created>
  <dcterms:modified xsi:type="dcterms:W3CDTF">2019-04-23T10:04:00Z</dcterms:modified>
</cp:coreProperties>
</file>