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3.- Resolver problemas sencillos que impliquen operaciones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básicas.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la vida del aula, agrupa, separa,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quita,añade</w:t>
            </w:r>
            <w:proofErr w:type="spell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algún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imprecisión,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el proceso</w:t>
            </w:r>
          </w:p>
          <w:p w:rsidR="00B835B1" w:rsidRPr="00A50E9D" w:rsidRDefault="00A50E9D" w:rsidP="00A50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seguido</w:t>
            </w:r>
          </w:p>
        </w:tc>
        <w:tc>
          <w:tcPr>
            <w:tcW w:w="2552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vida del aula, agrupa, separa,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quita,añade</w:t>
            </w:r>
            <w:proofErr w:type="spell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una reflexión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sencilla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 el proceso seguido.</w:t>
            </w:r>
          </w:p>
          <w:p w:rsidR="00B835B1" w:rsidRPr="00A50E9D" w:rsidRDefault="00B835B1" w:rsidP="00A50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 vida del aula, agrupa, separa, quita,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añade,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razonamientos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algo complejos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precisión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 el proceso seguido</w:t>
            </w:r>
          </w:p>
          <w:p w:rsidR="00B835B1" w:rsidRPr="00A50E9D" w:rsidRDefault="00B835B1" w:rsidP="00A50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 vida del aula, agrupa, separa, quita,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añade, reparte…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razonamientos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complejos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siempre con precisión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 el proceso</w:t>
            </w:r>
          </w:p>
          <w:p w:rsidR="00B835B1" w:rsidRPr="00A50E9D" w:rsidRDefault="00A50E9D" w:rsidP="00A50E9D">
            <w:pPr>
              <w:rPr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seguido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C80" w:rsidTr="0027170E">
        <w:tc>
          <w:tcPr>
            <w:tcW w:w="4077" w:type="dxa"/>
          </w:tcPr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Con este criterio se intenta apreciar la capacidad de los niños y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las niñas para identificar situaciones en las que tengan que aplicar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procedimientos y estrategias de resolución de problemas (agrupar,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separar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etc.) </w:t>
            </w: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enfrentarse a ellas.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En primer lugar habrá que tener en cuenta si identifican los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datos</w:t>
            </w: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,buscan</w:t>
            </w:r>
            <w:proofErr w:type="spellEnd"/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la mejor estrategia para resolver esa situación, utilizan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procedimientos más adecuados, etc. Para ello, en momentos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apropiados y útiles tales como tareas de repartir, problemas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surgen cuando coinciden preferencias e intereses, situaciones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planificadas o espontáneas de juegos de compra-venta, etc., se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podrá pedir que verbalicen cómo ven la situación, cuáles son los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problemáticos, cómo la podrían resolver, que anticipen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diferentes resultados y/o soluciones, etc. En segundo lugar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podrá considerar el modo de enfrentarse el alumnado a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problemas y a su necesidad de resolverlos. A tal efecto, se</w:t>
            </w:r>
          </w:p>
          <w:p w:rsidR="00A50E9D" w:rsidRPr="00A50E9D" w:rsidRDefault="00A50E9D" w:rsidP="00A5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observará si en sus expresiones verbales utiliza con frecuencia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"no sé", "no puedo", si se inhibe, o, por el contrario, manifiesta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interés por resolver sencillas situaciones de la vida del aula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conlleven la aplicación de operaciones como quitar, añadir,</w:t>
            </w:r>
          </w:p>
          <w:p w:rsidR="00994C80" w:rsidRPr="00B835B1" w:rsidRDefault="00A50E9D" w:rsidP="00A50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repartir</w:t>
            </w:r>
            <w:proofErr w:type="gramEnd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0E9D">
              <w:rPr>
                <w:rFonts w:ascii="Times New Roman" w:hAnsi="Times New Roman" w:cs="Times New Roman"/>
                <w:sz w:val="18"/>
                <w:szCs w:val="18"/>
              </w:rPr>
              <w:t>etc.</w:t>
            </w:r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>indicadores</w:t>
            </w:r>
            <w:proofErr w:type="spellEnd"/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 xml:space="preserve"> para valorar si los niños y niñas reconocen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>propiedades de los objetos, y si los organizan en función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282" w:rsidRPr="00A50E9D">
              <w:rPr>
                <w:rFonts w:ascii="Times New Roman" w:hAnsi="Times New Roman" w:cs="Times New Roman"/>
                <w:sz w:val="18"/>
                <w:szCs w:val="18"/>
              </w:rPr>
              <w:t>criterios de agrupamiento previamente definidos</w:t>
            </w:r>
            <w:r w:rsidR="00914282" w:rsidRPr="009142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7170E"/>
    <w:rsid w:val="003062D7"/>
    <w:rsid w:val="00384B73"/>
    <w:rsid w:val="003E460F"/>
    <w:rsid w:val="00434D20"/>
    <w:rsid w:val="005E41DD"/>
    <w:rsid w:val="00711184"/>
    <w:rsid w:val="00914282"/>
    <w:rsid w:val="009509C1"/>
    <w:rsid w:val="00985189"/>
    <w:rsid w:val="00994C80"/>
    <w:rsid w:val="00A50E9D"/>
    <w:rsid w:val="00A54237"/>
    <w:rsid w:val="00B835B1"/>
    <w:rsid w:val="00D420ED"/>
    <w:rsid w:val="00D92BD1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2019-01-13T18:03:00Z</dcterms:created>
  <dcterms:modified xsi:type="dcterms:W3CDTF">2019-01-13T18:10:00Z</dcterms:modified>
</cp:coreProperties>
</file>