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2693"/>
        <w:gridCol w:w="3011"/>
      </w:tblGrid>
      <w:tr w:rsidR="00B835B1" w:rsidTr="00BB28C0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693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01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BB28C0">
        <w:trPr>
          <w:trHeight w:val="2696"/>
        </w:trPr>
        <w:tc>
          <w:tcPr>
            <w:tcW w:w="4077" w:type="dxa"/>
          </w:tcPr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4.- Contar objetos relacionando la cantidad y el número que representan.</w:t>
            </w:r>
          </w:p>
          <w:p w:rsidR="00B835B1" w:rsidRPr="00B835B1" w:rsidRDefault="00B835B1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En situaciones naturales y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significativas de la vida del aula o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su vida cotidiana (repartir y distribuir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materiales, registrar la asistencia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las ausencias, comprobar el número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 votos para la toma de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decisiones…) utiliza la serie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numérica asociando,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incorrecciones importantes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, la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cantidad y el número y,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dificultades destacables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, establece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relaciones de orden y de inclusión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jerárquica (un número inferior queda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incluido automáticamente en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siguiente inmediato de orden</w:t>
            </w:r>
          </w:p>
          <w:p w:rsidR="00B835B1" w:rsidRPr="00DF2252" w:rsidRDefault="00DF2252" w:rsidP="00DF2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superior</w:t>
            </w:r>
            <w:proofErr w:type="gramEnd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144725" w:rsidRPr="00DF22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En situaciones naturales y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significativas de la vida del aula o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su vida cotidiana (repartir y distribuir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materiales, registrar la asistencia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las ausencias, comprobar el número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 votos para la toma de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decisiones…) utiliza la serie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numérica asociando,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, la cantidad y el número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y,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facilidad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, establece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relaciones de orden y de inclusión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jerárquica (un número inferior queda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incluido automáticamente en el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siguiente inmediato de orden</w:t>
            </w:r>
          </w:p>
          <w:p w:rsidR="00B835B1" w:rsidRPr="00DF2252" w:rsidRDefault="00DF2252" w:rsidP="00DF2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superior</w:t>
            </w:r>
            <w:proofErr w:type="gramEnd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693" w:type="dxa"/>
          </w:tcPr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En situaciones naturales y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significativas de la vida del aula o de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su vida cotidiana (repartir y distribuir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materiales, registrar la asistencia y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las ausencias, comprobar el número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 votos para la toma de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decisiones…) utiliza la serie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numérica asociando,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corrección,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la cantidad y el número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y,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 mucha facilidad,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establece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relaciones de orden y de inclusión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jerárquica (un número inferior queda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incluido automáticamente en el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siguiente inmediato de orden</w:t>
            </w:r>
          </w:p>
          <w:p w:rsidR="00B835B1" w:rsidRPr="00DF2252" w:rsidRDefault="00DF2252" w:rsidP="00DF2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superior</w:t>
            </w:r>
            <w:proofErr w:type="gramEnd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011" w:type="dxa"/>
          </w:tcPr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En situaciones naturales y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significativas de la vida del aula o de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su vida cotidiana (repartir y distribuir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materiales, registrar la asistencia y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las ausencias, comprobar el número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 votos para la toma de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decisiones…) utiliza la serie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numérica asociando,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total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, la cantidad y el número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y, </w:t>
            </w:r>
            <w:r w:rsidRPr="00DF2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total facilidad y precisión,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establece relaciones de orden y de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inclusión jerárquica (un número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inferior queda incluido</w:t>
            </w:r>
          </w:p>
          <w:p w:rsidR="00DF2252" w:rsidRP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automáticamente en el siguiente</w:t>
            </w:r>
          </w:p>
          <w:p w:rsidR="00B835B1" w:rsidRPr="00DF2252" w:rsidRDefault="00DF2252" w:rsidP="00DF2252">
            <w:pPr>
              <w:rPr>
                <w:sz w:val="18"/>
                <w:szCs w:val="18"/>
              </w:rPr>
            </w:pPr>
            <w:proofErr w:type="gramStart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>inmediato</w:t>
            </w:r>
            <w:proofErr w:type="gramEnd"/>
            <w:r w:rsidRPr="00DF2252">
              <w:rPr>
                <w:rFonts w:ascii="Times New Roman" w:hAnsi="Times New Roman" w:cs="Times New Roman"/>
                <w:sz w:val="18"/>
                <w:szCs w:val="18"/>
              </w:rPr>
              <w:t xml:space="preserve"> de orden superior).</w:t>
            </w:r>
          </w:p>
        </w:tc>
      </w:tr>
      <w:tr w:rsidR="00994C80" w:rsidRPr="00B47B93" w:rsidTr="00D16E04">
        <w:trPr>
          <w:trHeight w:val="5223"/>
        </w:trPr>
        <w:tc>
          <w:tcPr>
            <w:tcW w:w="4077" w:type="dxa"/>
          </w:tcPr>
          <w:p w:rsid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F2252" w:rsidRPr="00DF5CCE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Con este criterio se pretende comprobar la capacidad del alumnado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para utilizar la serie numérica estableciendo relaciones, tanto de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orden en la que se asegura que todos los objetos han sido contados,</w:t>
            </w:r>
          </w:p>
          <w:p w:rsidR="00DF2252" w:rsidRPr="00DF5CCE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como de inclusión jerárquica, por la que mentalmente un número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inferior queda incluido automáticamente en el siguiente inmediato</w:t>
            </w:r>
          </w:p>
          <w:p w:rsidR="00DF2252" w:rsidRPr="00DF5CCE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 xml:space="preserve">de orden </w:t>
            </w:r>
            <w:proofErr w:type="spellStart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superior.Para</w:t>
            </w:r>
            <w:proofErr w:type="spellEnd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 xml:space="preserve"> ello, en situaciones naturales y significativas de la vida diaria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de clase encaminadas a la cuantificación de objetos se habrá de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prestar atención a cómo los niños y las niñas distribuyen y reparten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materiales y objetos diversos, cómo registran la información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(compañeros y compañeras presentes y ausentes cuando se pasa</w:t>
            </w:r>
          </w:p>
          <w:p w:rsidR="00DF2252" w:rsidRPr="00DF5CCE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lista</w:t>
            </w:r>
            <w:proofErr w:type="gramEnd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, recuento de libros de la biblioteca del aula, comprobación de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votos para la toma de decisiones ...), su participación en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 xml:space="preserve">actividades de juegos de mesa como loterías, oca, juego de </w:t>
            </w:r>
            <w:proofErr w:type="spellStart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cartas,etc</w:t>
            </w:r>
            <w:proofErr w:type="spellEnd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. Se habrá de observar si, dados varios objetos, los niños y niñas</w:t>
            </w:r>
          </w:p>
          <w:p w:rsidR="00DF2252" w:rsidRPr="00DF5CCE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asocian</w:t>
            </w:r>
            <w:proofErr w:type="gramEnd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 xml:space="preserve"> cada uno de los elementos con los números cardinales</w:t>
            </w:r>
            <w:r w:rsidR="00DF5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CCE">
              <w:rPr>
                <w:rFonts w:ascii="Times New Roman" w:hAnsi="Times New Roman" w:cs="Times New Roman"/>
                <w:sz w:val="18"/>
                <w:szCs w:val="18"/>
              </w:rPr>
              <w:t xml:space="preserve">ordenados, tomando uno después del otro, empezando por el </w:t>
            </w:r>
            <w:proofErr w:type="spellStart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>uno,y</w:t>
            </w:r>
            <w:proofErr w:type="spellEnd"/>
            <w:r w:rsidRPr="00DF5CCE">
              <w:rPr>
                <w:rFonts w:ascii="Times New Roman" w:hAnsi="Times New Roman" w:cs="Times New Roman"/>
                <w:sz w:val="18"/>
                <w:szCs w:val="18"/>
              </w:rPr>
              <w:t xml:space="preserve"> si asignan el último número cardinal utilizado al conjunto de</w:t>
            </w:r>
            <w:r w:rsidR="00DF5CCE" w:rsidRPr="00DF5CCE">
              <w:rPr>
                <w:rFonts w:ascii="Times New Roman" w:hAnsi="Times New Roman" w:cs="Times New Roman"/>
                <w:sz w:val="18"/>
                <w:szCs w:val="18"/>
              </w:rPr>
              <w:t xml:space="preserve"> objetos.</w:t>
            </w:r>
          </w:p>
          <w:p w:rsidR="00994C80" w:rsidRPr="00B47B93" w:rsidRDefault="00994C80" w:rsidP="00DF2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  <w:sz w:val="18"/>
                <w:szCs w:val="18"/>
              </w:rPr>
            </w:pPr>
            <w:r w:rsidRPr="00B47B93">
              <w:rPr>
                <w:b/>
                <w:sz w:val="18"/>
                <w:szCs w:val="18"/>
              </w:rPr>
              <w:t>ACTIVIDADES</w:t>
            </w:r>
          </w:p>
          <w:p w:rsid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-Zanahorias numéricas: poner tantas hojas a la zanahoria como indica el número.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>-Juego de las abejas: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>Cada jugador tiene un tarro de cada color y jugamos con un dado.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>Se ponen todas las abejas boca abajo para no saber de qué color son.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>El jugador que comienza el turno, lanza el dado. Según el número que salga tendrá que levantar ése número de abejas.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 xml:space="preserve">Por ejemplo, el jugador verde, lanza  el dado y saca un 2. Tiene que levantar 2 abejas. Pero solo se quedará con las que levante de color verde. Igual que el color de su tarro. 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>Tiene que volver a poner las demás abejas que no son de su color boca abajo, para continuar el juego.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>El resto de jugadores irá haciendo lo mismo.</w:t>
            </w:r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DA">
              <w:rPr>
                <w:rFonts w:ascii="Times New Roman" w:hAnsi="Times New Roman" w:cs="Times New Roman"/>
                <w:sz w:val="24"/>
                <w:szCs w:val="24"/>
              </w:rPr>
              <w:t>El juego termina cuando uno de los jugadores cace 10 abejas.</w:t>
            </w:r>
          </w:p>
          <w:p w:rsid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D74DA" w:rsidRPr="00ED74DA" w:rsidRDefault="00ED74DA" w:rsidP="00ED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2D" w:rsidRPr="00B47B93" w:rsidRDefault="0020002D">
      <w:pPr>
        <w:rPr>
          <w:sz w:val="18"/>
          <w:szCs w:val="18"/>
        </w:rPr>
      </w:pPr>
    </w:p>
    <w:p w:rsidR="00B835B1" w:rsidRPr="00B47B93" w:rsidRDefault="00B835B1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2693"/>
        <w:gridCol w:w="3011"/>
      </w:tblGrid>
      <w:tr w:rsidR="00B835B1" w:rsidTr="00B84E84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011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B47B93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0C76A8"/>
    <w:rsid w:val="00134794"/>
    <w:rsid w:val="00144725"/>
    <w:rsid w:val="00156AE0"/>
    <w:rsid w:val="001E3EB2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055CD"/>
    <w:rsid w:val="005E41DD"/>
    <w:rsid w:val="00711184"/>
    <w:rsid w:val="007B6347"/>
    <w:rsid w:val="008B7021"/>
    <w:rsid w:val="00914282"/>
    <w:rsid w:val="00921E20"/>
    <w:rsid w:val="009509C1"/>
    <w:rsid w:val="00985189"/>
    <w:rsid w:val="00994C80"/>
    <w:rsid w:val="00A50E9D"/>
    <w:rsid w:val="00A54237"/>
    <w:rsid w:val="00AC7B0A"/>
    <w:rsid w:val="00B47B93"/>
    <w:rsid w:val="00B7715F"/>
    <w:rsid w:val="00B835B1"/>
    <w:rsid w:val="00B84E84"/>
    <w:rsid w:val="00BB28C0"/>
    <w:rsid w:val="00CE1BE7"/>
    <w:rsid w:val="00D16E04"/>
    <w:rsid w:val="00D3745B"/>
    <w:rsid w:val="00D420ED"/>
    <w:rsid w:val="00D92BD1"/>
    <w:rsid w:val="00DA4B59"/>
    <w:rsid w:val="00DF2252"/>
    <w:rsid w:val="00DF5CCE"/>
    <w:rsid w:val="00E30087"/>
    <w:rsid w:val="00ED74DA"/>
    <w:rsid w:val="00F05AEA"/>
    <w:rsid w:val="00F22C99"/>
    <w:rsid w:val="00F4074A"/>
    <w:rsid w:val="00F4122C"/>
    <w:rsid w:val="00F42945"/>
    <w:rsid w:val="00F56DFA"/>
    <w:rsid w:val="00F72802"/>
    <w:rsid w:val="00F8197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2019-01-13T21:51:00Z</dcterms:created>
  <dcterms:modified xsi:type="dcterms:W3CDTF">2019-02-04T17:49:00Z</dcterms:modified>
</cp:coreProperties>
</file>