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77"/>
        <w:gridCol w:w="315"/>
        <w:gridCol w:w="269"/>
        <w:gridCol w:w="720"/>
        <w:gridCol w:w="273"/>
        <w:gridCol w:w="215"/>
        <w:gridCol w:w="416"/>
        <w:gridCol w:w="859"/>
        <w:gridCol w:w="88"/>
        <w:gridCol w:w="946"/>
        <w:gridCol w:w="84"/>
        <w:gridCol w:w="547"/>
        <w:gridCol w:w="887"/>
        <w:gridCol w:w="375"/>
        <w:gridCol w:w="315"/>
        <w:gridCol w:w="1578"/>
      </w:tblGrid>
      <w:tr w:rsidR="00132B43" w:rsidTr="007A67B6"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2B43" w:rsidRPr="00A920C2" w:rsidRDefault="00A920C2">
            <w:pPr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AÑO ACADÉMICO</w:t>
            </w:r>
            <w:r w:rsidR="000F3391">
              <w:rPr>
                <w:b/>
                <w:noProof/>
                <w:lang w:eastAsia="es-ES"/>
              </w:rPr>
              <w:t xml:space="preserve"> 2018-19</w:t>
            </w:r>
          </w:p>
        </w:tc>
        <w:tc>
          <w:tcPr>
            <w:tcW w:w="288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2B43" w:rsidRPr="00A920C2" w:rsidRDefault="00A920C2">
            <w:pPr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CURSO</w:t>
            </w:r>
            <w:r w:rsidR="000F3391">
              <w:rPr>
                <w:b/>
                <w:noProof/>
                <w:lang w:eastAsia="es-ES"/>
              </w:rPr>
              <w:t xml:space="preserve">   1º de primaria</w:t>
            </w:r>
          </w:p>
        </w:tc>
        <w:tc>
          <w:tcPr>
            <w:tcW w:w="37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Pr="00A920C2" w:rsidRDefault="00A920C2">
            <w:pPr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TÍTULO</w:t>
            </w:r>
            <w:r w:rsidR="000F3391">
              <w:rPr>
                <w:b/>
                <w:noProof/>
                <w:lang w:eastAsia="es-ES"/>
              </w:rPr>
              <w:t xml:space="preserve"> : Un dragón de compañía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Pr="002C3D09" w:rsidRDefault="00132B43" w:rsidP="00132B43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2C3D09">
              <w:rPr>
                <w:b/>
                <w:noProof/>
                <w:sz w:val="14"/>
                <w:szCs w:val="14"/>
                <w:lang w:eastAsia="es-ES"/>
              </w:rPr>
              <w:t>Justificación:</w:t>
            </w:r>
            <w:r w:rsidR="000F3391"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A lo largo de esta UDI se pretenderá que el alumnado realice la descripción de un objeto</w:t>
            </w:r>
            <w:r w:rsidR="000F3391" w:rsidRPr="002C3D09">
              <w:rPr>
                <w:rFonts w:ascii="Arial" w:hAnsi="Arial" w:cs="Arial"/>
                <w:sz w:val="14"/>
                <w:szCs w:val="14"/>
              </w:rPr>
              <w:t xml:space="preserve">comprendiendo el sentido global de los textos orales de la vida cotidiana a través de la </w:t>
            </w:r>
            <w:r w:rsidR="000F3391"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comprensión y expresión oral. Se desarrollará un método sistemático de lectoescritura motivador, trabajándose las siguientes letras: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dr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tr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d_r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t_r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cl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cr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gl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gr,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g_l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>g_r</w:t>
            </w:r>
            <w:proofErr w:type="spellEnd"/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 </w:t>
            </w:r>
            <w:r w:rsidR="000F3391" w:rsidRPr="002C3D09">
              <w:rPr>
                <w:rFonts w:ascii="Arial" w:hAnsi="Arial" w:cs="Arial"/>
                <w:sz w:val="14"/>
                <w:szCs w:val="14"/>
                <w:lang w:val="es-ES_tradnl"/>
              </w:rPr>
              <w:t>De igual modo, en el apartado de gramática se propondrá que el alumnado u</w:t>
            </w:r>
            <w:r w:rsidR="000F3391" w:rsidRPr="002C3D09">
              <w:rPr>
                <w:rFonts w:ascii="Arial" w:hAnsi="Arial" w:cs="Arial"/>
                <w:sz w:val="14"/>
                <w:szCs w:val="14"/>
              </w:rPr>
              <w:t xml:space="preserve">se verbos en un texto distinguiendo algunas características de los mismos tanto con formas en singular como en plural. </w:t>
            </w:r>
            <w:r w:rsidR="000F3391"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Además de la aplicación de normas elementales de ortografía referidas al uso correcto de </w:t>
            </w:r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g </w:t>
            </w:r>
            <w:r w:rsidR="000F3391" w:rsidRPr="002C3D09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0F3391" w:rsidRPr="002C3D0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j. </w:t>
            </w:r>
            <w:r w:rsidR="000F3391" w:rsidRPr="002C3D09">
              <w:rPr>
                <w:rFonts w:ascii="Arial" w:hAnsi="Arial" w:cs="Arial"/>
                <w:iCs/>
                <w:sz w:val="14"/>
                <w:szCs w:val="14"/>
              </w:rPr>
              <w:t xml:space="preserve">En cuanto a la expresión escrita, el alumnado conocerá las normas de la biblioteca y su función, así como utilizará la biblioteca como lugar de lectura y como recurso en el préstamo de libros. De acuerdo con el apartado de literatura, se pretenderá que el alumnado conozca, valore y produzca a partir de modelos dados cuentos de fórmulas con sentido estético y creatividad. 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color w:val="FFFFFF" w:themeColor="background1"/>
                <w:lang w:eastAsia="es-ES"/>
              </w:rPr>
            </w:pPr>
            <w:r>
              <w:rPr>
                <w:b/>
                <w:noProof/>
                <w:color w:val="FFFFFF" w:themeColor="background1"/>
                <w:lang w:eastAsia="es-ES"/>
              </w:rPr>
              <w:t>CONCRECIÓN CURRICULAR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OBJETIVOS DIDÁCTICOS</w:t>
            </w:r>
            <w:r w:rsidR="00D93E97">
              <w:rPr>
                <w:b/>
                <w:noProof/>
                <w:lang w:eastAsia="es-ES"/>
              </w:rPr>
              <w:t xml:space="preserve"> (INDICADORES)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808BA" w:rsidRPr="002C3D09" w:rsidRDefault="007808BA" w:rsidP="007808BA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LCL.1.1.1.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Participa en debates respetando las normas de intercambio comunicativo. 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CAA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CSYC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SIEP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LCL.1.1.4.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Comprende el contenido de mensajes verbales y no verbales. 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LCL.1.3.1. 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Capta el sentido global de textos orales de uso habitual e identifica la información más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relevantee</w:t>
            </w:r>
            <w:proofErr w:type="spell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ideas elementales. 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LCL.1.4.1.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Escucha, reconoce y reproduce textos orales sencillos de la literatura infantil andaluza.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CEC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LCL.1.5.1.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Lee textos breves apropiados a su edad, con pronunciación y entonación adecuada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LCL.1.6.3.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Responde a cuestiones globales y concretas sobre lecturas realizadas. 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LCL.1.9.1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Redacta, reescribe y resume diferentes tipos de textos relacionados con la experiencia infantil, atendiendo a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modelosclaros</w:t>
            </w:r>
            <w:proofErr w:type="spell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con diferentes intenciones comunicativas</w:t>
            </w:r>
            <w:proofErr w:type="gram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.(</w:t>
            </w:r>
            <w:proofErr w:type="gramEnd"/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CAA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LCL.1.9.2.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Aplica las normas gramaticales y ortográficas sencillas, cuidando la caligrafía, el orden y la presentación y los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aspectosformales</w:t>
            </w:r>
            <w:proofErr w:type="spell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de los diferentes textos</w:t>
            </w:r>
            <w:proofErr w:type="gram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.(</w:t>
            </w:r>
            <w:proofErr w:type="gramEnd"/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7808BA" w:rsidRPr="002C3D09" w:rsidRDefault="007808BA" w:rsidP="007808B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LCL.1.11.1.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Conoce y comprende terminología gramatical y lingüística elemental como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enunciados</w:t>
            </w:r>
            <w:proofErr w:type="gram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,palabras</w:t>
            </w:r>
            <w:proofErr w:type="spellEnd"/>
            <w:proofErr w:type="gram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silabas, nombre común y propio, singular, plural, masculino y femenino, palabras compuestas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ysimples</w:t>
            </w:r>
            <w:proofErr w:type="spell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.(</w:t>
            </w: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CCL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).</w:t>
            </w:r>
          </w:p>
          <w:p w:rsidR="00441127" w:rsidRPr="007808BA" w:rsidRDefault="00441127" w:rsidP="00441127">
            <w:pPr>
              <w:rPr>
                <w:noProof/>
                <w:lang w:val="es-ES_tradnl" w:eastAsia="es-ES"/>
              </w:rPr>
            </w:pP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CONTENIDOS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54115" w:rsidRDefault="00E54115" w:rsidP="00E54115">
            <w:pPr>
              <w:pStyle w:val="Sinespaciado"/>
              <w:numPr>
                <w:ilvl w:val="1"/>
                <w:numId w:val="1"/>
              </w:num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Situaciones de comunicación, espontáneas o dirigidas, utilizando un discurso ordenado y </w:t>
            </w:r>
            <w:proofErr w:type="spellStart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coherente</w:t>
            </w:r>
            <w:proofErr w:type="gramStart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:asambleas</w:t>
            </w:r>
            <w:proofErr w:type="spellEnd"/>
            <w:proofErr w:type="gramEnd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, conversaciones, simulaciones, presentaciones y normas de cortesía habituales (</w:t>
            </w:r>
            <w:proofErr w:type="spellStart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disculpas,agradecimientos</w:t>
            </w:r>
            <w:proofErr w:type="spellEnd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, felicitaciones...).</w:t>
            </w:r>
          </w:p>
          <w:p w:rsidR="00E54115" w:rsidRDefault="00E54115" w:rsidP="00E54115">
            <w:pPr>
              <w:pStyle w:val="Sinespaciado"/>
              <w:numPr>
                <w:ilvl w:val="1"/>
                <w:numId w:val="1"/>
              </w:num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Comprensión y expresión de mensajes verbales y no verbales mediante el uso de estrategias: </w:t>
            </w:r>
            <w:proofErr w:type="spellStart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atención</w:t>
            </w:r>
            <w:proofErr w:type="gramStart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,retención</w:t>
            </w:r>
            <w:proofErr w:type="spellEnd"/>
            <w:proofErr w:type="gramEnd"/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, anticipación del contenido y 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</w:t>
            </w:r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>de la situación mediante el contexto, identificación del sentido global.</w:t>
            </w:r>
          </w:p>
          <w:p w:rsidR="00E54115" w:rsidRPr="00E54115" w:rsidRDefault="00E54115" w:rsidP="00E54115">
            <w:pPr>
              <w:pStyle w:val="Sinespaciado"/>
              <w:numPr>
                <w:ilvl w:val="1"/>
                <w:numId w:val="1"/>
              </w:num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541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Estrategias y normas para el intercambio comunicativo: participación</w:t>
            </w:r>
          </w:p>
          <w:p w:rsidR="00E54115" w:rsidRPr="00E54115" w:rsidRDefault="00E54115" w:rsidP="00E54115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132B43" w:rsidRPr="00E54115" w:rsidRDefault="00132B43">
            <w:pPr>
              <w:rPr>
                <w:noProof/>
                <w:lang w:val="es-ES_tradnl" w:eastAsia="es-ES"/>
              </w:rPr>
            </w:pP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CRITERIOS DE EVALUACIÓN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Pr="002C3D09" w:rsidRDefault="00441127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Participar en situaciones de comunicación del aula, reconociendo el mensaje verbal y no verbal en distintas situaciones cotidianas orales y respetando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lasnormas</w:t>
            </w:r>
            <w:proofErr w:type="spellEnd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del intercambio comunicativo desde la escucha y el respeto por las ideas, sentimientos y emociones de los demás</w:t>
            </w:r>
            <w:proofErr w:type="gram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..</w:t>
            </w:r>
            <w:proofErr w:type="gramEnd"/>
          </w:p>
          <w:p w:rsidR="00441127" w:rsidRPr="002C3D09" w:rsidRDefault="00441127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CE.1.3.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Captar el sentido global de textos orales de uso habitual, identificando la información más relevante e ideas elementales.</w:t>
            </w:r>
          </w:p>
          <w:p w:rsidR="00441127" w:rsidRPr="002C3D09" w:rsidRDefault="00441127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CE.1.4.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Escuchar, reconocer y reproducir textos orales sencillos de la literatura infantil andaluza</w:t>
            </w:r>
          </w:p>
          <w:p w:rsidR="00BB74B2" w:rsidRPr="002C3D09" w:rsidRDefault="00BB74B2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CE.1.5.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Leer textos breves apropiados a su edad, con pronunciación y entonación adecuada</w:t>
            </w:r>
          </w:p>
          <w:p w:rsidR="00BB74B2" w:rsidRPr="002C3D09" w:rsidRDefault="00BB74B2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CE.1.6.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Comprender el sentido global de un texto leído en voz alta</w:t>
            </w:r>
          </w:p>
          <w:p w:rsidR="00BB74B2" w:rsidRPr="002C3D09" w:rsidRDefault="00BB74B2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CE.1.9.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Redactar, reescribir y resumir diferentes tipos de textos relacionados con la experiencia infantil, atendiendo a modelos claros con diferentes </w:t>
            </w:r>
            <w:proofErr w:type="spellStart"/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>intencionescomunicativas</w:t>
            </w:r>
            <w:proofErr w:type="spellEnd"/>
          </w:p>
          <w:p w:rsidR="00BB74B2" w:rsidRDefault="00BB74B2">
            <w:pPr>
              <w:rPr>
                <w:noProof/>
                <w:lang w:eastAsia="es-ES"/>
              </w:rPr>
            </w:pPr>
            <w:r w:rsidRPr="002C3D0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CE.1.11.</w:t>
            </w:r>
            <w:r w:rsidRPr="002C3D09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Comprender y utilizar la terminología gramatical y lingüística elemental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COMPETENCIAS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Default="00132B43">
            <w:pPr>
              <w:rPr>
                <w:noProof/>
                <w:lang w:eastAsia="es-ES"/>
              </w:rPr>
            </w:pP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color w:val="FFFFFF" w:themeColor="background1"/>
                <w:lang w:eastAsia="es-ES"/>
              </w:rPr>
            </w:pPr>
            <w:r w:rsidRPr="00132B43">
              <w:rPr>
                <w:b/>
                <w:noProof/>
                <w:color w:val="FFFFFF" w:themeColor="background1"/>
                <w:lang w:eastAsia="es-ES"/>
              </w:rPr>
              <w:t>TRANSPOSICIÓN DIDÁCTICA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Pr="00A920C2" w:rsidRDefault="00A920C2">
            <w:pPr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TAREA:</w:t>
            </w:r>
            <w:bookmarkStart w:id="0" w:name="_GoBack"/>
            <w:bookmarkEnd w:id="0"/>
            <w:r w:rsidR="008B710C">
              <w:rPr>
                <w:b/>
                <w:noProof/>
                <w:lang w:eastAsia="es-ES"/>
              </w:rPr>
              <w:t xml:space="preserve">    HAY Q PONERLE UN TÍTULO</w:t>
            </w:r>
          </w:p>
        </w:tc>
      </w:tr>
      <w:tr w:rsidR="008B710C" w:rsidTr="007A67B6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Pr="00A920C2" w:rsidRDefault="008B710C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                                  SECUENCIA DIDÁCTICA ( ejercicios y actividades )</w:t>
            </w:r>
          </w:p>
        </w:tc>
      </w:tr>
      <w:tr w:rsidR="008B710C" w:rsidTr="00B13DED">
        <w:trPr>
          <w:trHeight w:val="35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LUNES 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MARTES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MIÉRCOLES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JUEVES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VIERNES</w:t>
            </w: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9,00 –   9,45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9,45 -  10,30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10,30 -  11,15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11,15 -  12.00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12,00 -  12,30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PATIO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PATIO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PATIO 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PATIO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     PATIO</w:t>
            </w: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12,30 -  13,15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8B710C" w:rsidTr="00B13DED">
        <w:trPr>
          <w:trHeight w:val="30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14040A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13,15 -  14,00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710C" w:rsidRDefault="008B710C">
            <w:pPr>
              <w:rPr>
                <w:b/>
                <w:noProof/>
                <w:lang w:eastAsia="es-ES"/>
              </w:rPr>
            </w:pP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METODOLOGÍA</w:t>
            </w:r>
          </w:p>
        </w:tc>
      </w:tr>
      <w:tr w:rsidR="00132B43" w:rsidTr="007A67B6"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32B43" w:rsidRDefault="00132B43">
            <w:pPr>
              <w:rPr>
                <w:noProof/>
                <w:lang w:eastAsia="es-ES"/>
              </w:rPr>
            </w:pPr>
          </w:p>
        </w:tc>
      </w:tr>
      <w:tr w:rsidR="00132B43" w:rsidTr="007A67B6">
        <w:trPr>
          <w:trHeight w:val="270"/>
        </w:trPr>
        <w:tc>
          <w:tcPr>
            <w:tcW w:w="216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TEMPORALIZACIÓN</w:t>
            </w:r>
          </w:p>
        </w:tc>
        <w:tc>
          <w:tcPr>
            <w:tcW w:w="248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RECURSOS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PROCESOS COGNITIVOS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B43" w:rsidRPr="00132B43" w:rsidRDefault="00132B43" w:rsidP="00132B43">
            <w:pPr>
              <w:jc w:val="center"/>
              <w:rPr>
                <w:b/>
                <w:noProof/>
                <w:lang w:eastAsia="es-ES"/>
              </w:rPr>
            </w:pPr>
            <w:r w:rsidRPr="00132B43">
              <w:rPr>
                <w:b/>
                <w:noProof/>
                <w:lang w:eastAsia="es-ES"/>
              </w:rPr>
              <w:t>ESCENARIOS</w:t>
            </w:r>
          </w:p>
        </w:tc>
      </w:tr>
      <w:tr w:rsidR="00A920C2" w:rsidTr="007A67B6">
        <w:trPr>
          <w:trHeight w:val="270"/>
        </w:trPr>
        <w:tc>
          <w:tcPr>
            <w:tcW w:w="216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C2" w:rsidRPr="00132B43" w:rsidRDefault="00A920C2" w:rsidP="00132B43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248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C2" w:rsidRPr="00132B43" w:rsidRDefault="00A920C2" w:rsidP="00132B43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2552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20C2" w:rsidRPr="00132B43" w:rsidRDefault="00A920C2" w:rsidP="00132B43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0C2" w:rsidRPr="00132B43" w:rsidRDefault="00A920C2" w:rsidP="00132B43">
            <w:pPr>
              <w:jc w:val="center"/>
              <w:rPr>
                <w:b/>
                <w:noProof/>
                <w:lang w:eastAsia="es-ES"/>
              </w:rPr>
            </w:pPr>
          </w:p>
        </w:tc>
      </w:tr>
      <w:tr w:rsidR="00A920C2" w:rsidTr="007A67B6">
        <w:trPr>
          <w:trHeight w:val="270"/>
        </w:trPr>
        <w:tc>
          <w:tcPr>
            <w:tcW w:w="946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920C2" w:rsidRPr="00A920C2" w:rsidRDefault="00A920C2" w:rsidP="00132B43">
            <w:pPr>
              <w:jc w:val="center"/>
              <w:rPr>
                <w:b/>
                <w:noProof/>
                <w:color w:val="FFFFFF" w:themeColor="background1"/>
                <w:lang w:eastAsia="es-ES"/>
              </w:rPr>
            </w:pPr>
            <w:r w:rsidRPr="00A920C2">
              <w:rPr>
                <w:b/>
                <w:noProof/>
                <w:color w:val="FFFFFF" w:themeColor="background1"/>
                <w:lang w:eastAsia="es-ES"/>
              </w:rPr>
              <w:t>VALORACIÓN DE LO APRENDIDO</w:t>
            </w:r>
          </w:p>
        </w:tc>
      </w:tr>
      <w:tr w:rsidR="00A920C2" w:rsidTr="007A67B6">
        <w:trPr>
          <w:trHeight w:val="270"/>
        </w:trPr>
        <w:tc>
          <w:tcPr>
            <w:tcW w:w="33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0C2" w:rsidRPr="00A920C2" w:rsidRDefault="00A920C2" w:rsidP="00A920C2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INDICADORES</w:t>
            </w:r>
          </w:p>
        </w:tc>
        <w:tc>
          <w:tcPr>
            <w:tcW w:w="6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B74B2" w:rsidRPr="002C3D09" w:rsidRDefault="00BB74B2" w:rsidP="00BB74B2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BB74B2" w:rsidRPr="002C3D09" w:rsidRDefault="00BB74B2" w:rsidP="00441127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BB74B2" w:rsidRDefault="00BB74B2" w:rsidP="00441127">
            <w:pPr>
              <w:rPr>
                <w:noProof/>
                <w:lang w:eastAsia="es-ES"/>
              </w:rPr>
            </w:pPr>
          </w:p>
        </w:tc>
      </w:tr>
      <w:tr w:rsidR="00A920C2" w:rsidTr="007A67B6">
        <w:trPr>
          <w:trHeight w:val="270"/>
        </w:trPr>
        <w:tc>
          <w:tcPr>
            <w:tcW w:w="33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20C2" w:rsidRPr="00A920C2" w:rsidRDefault="00A920C2" w:rsidP="00A920C2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lastRenderedPageBreak/>
              <w:t>INSTRUMENTOS DE EVALUACIÓN</w:t>
            </w:r>
          </w:p>
        </w:tc>
        <w:tc>
          <w:tcPr>
            <w:tcW w:w="6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920C2" w:rsidRDefault="00A920C2">
            <w:pPr>
              <w:rPr>
                <w:noProof/>
                <w:lang w:eastAsia="es-ES"/>
              </w:rPr>
            </w:pPr>
          </w:p>
        </w:tc>
      </w:tr>
      <w:tr w:rsidR="00A920C2" w:rsidTr="007A67B6">
        <w:trPr>
          <w:trHeight w:val="270"/>
        </w:trPr>
        <w:tc>
          <w:tcPr>
            <w:tcW w:w="946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20C2" w:rsidRPr="00A920C2" w:rsidRDefault="00A920C2" w:rsidP="00A920C2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ESCALA DE OBSERVACIÓN</w:t>
            </w:r>
          </w:p>
        </w:tc>
      </w:tr>
      <w:tr w:rsidR="00D93E97" w:rsidTr="00D93E97">
        <w:trPr>
          <w:trHeight w:val="387"/>
        </w:trPr>
        <w:tc>
          <w:tcPr>
            <w:tcW w:w="18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E97" w:rsidRPr="00A920C2" w:rsidRDefault="00D93E97" w:rsidP="00D93E97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Nivel</w:t>
            </w:r>
            <w:r>
              <w:rPr>
                <w:b/>
                <w:noProof/>
                <w:lang w:eastAsia="es-ES"/>
              </w:rPr>
              <w:t xml:space="preserve"> 0</w:t>
            </w:r>
          </w:p>
        </w:tc>
        <w:tc>
          <w:tcPr>
            <w:tcW w:w="18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E97" w:rsidRPr="00A920C2" w:rsidRDefault="00D93E97" w:rsidP="00FA176D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Nivel 1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E97" w:rsidRPr="00A920C2" w:rsidRDefault="00D93E97" w:rsidP="00FA176D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Nivel 2</w:t>
            </w:r>
          </w:p>
        </w:tc>
        <w:tc>
          <w:tcPr>
            <w:tcW w:w="18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E97" w:rsidRPr="00A920C2" w:rsidRDefault="00D93E97" w:rsidP="00FA176D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Nivel 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E97" w:rsidRPr="00A920C2" w:rsidRDefault="00D93E97" w:rsidP="00FA176D">
            <w:pPr>
              <w:jc w:val="center"/>
              <w:rPr>
                <w:b/>
                <w:noProof/>
                <w:lang w:eastAsia="es-ES"/>
              </w:rPr>
            </w:pPr>
            <w:r w:rsidRPr="00A920C2">
              <w:rPr>
                <w:b/>
                <w:noProof/>
                <w:lang w:eastAsia="es-ES"/>
              </w:rPr>
              <w:t>Nivel 4</w:t>
            </w:r>
          </w:p>
        </w:tc>
      </w:tr>
      <w:tr w:rsidR="00D93E97" w:rsidTr="00D93E97">
        <w:trPr>
          <w:trHeight w:val="387"/>
        </w:trPr>
        <w:tc>
          <w:tcPr>
            <w:tcW w:w="1892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3E97" w:rsidRPr="00A920C2" w:rsidRDefault="00D93E97" w:rsidP="00A920C2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89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3E97" w:rsidRPr="00A920C2" w:rsidRDefault="00D93E97" w:rsidP="00A920C2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3E97" w:rsidRPr="00A920C2" w:rsidRDefault="00D93E97" w:rsidP="00A920C2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89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3E97" w:rsidRPr="00A920C2" w:rsidRDefault="00D93E97" w:rsidP="00A920C2">
            <w:pPr>
              <w:jc w:val="center"/>
              <w:rPr>
                <w:b/>
                <w:noProof/>
                <w:lang w:eastAsia="es-ES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3E97" w:rsidRPr="00A920C2" w:rsidRDefault="00D93E97" w:rsidP="00A920C2">
            <w:pPr>
              <w:jc w:val="center"/>
              <w:rPr>
                <w:b/>
                <w:noProof/>
                <w:lang w:eastAsia="es-ES"/>
              </w:rPr>
            </w:pPr>
          </w:p>
        </w:tc>
      </w:tr>
    </w:tbl>
    <w:p w:rsidR="00132B43" w:rsidRDefault="00132B43">
      <w:pPr>
        <w:rPr>
          <w:noProof/>
          <w:lang w:eastAsia="es-ES"/>
        </w:rPr>
      </w:pPr>
    </w:p>
    <w:p w:rsidR="00A920C2" w:rsidRDefault="00A920C2">
      <w:pPr>
        <w:rPr>
          <w:noProof/>
          <w:lang w:eastAsia="es-ES"/>
        </w:rPr>
      </w:pPr>
    </w:p>
    <w:p w:rsidR="00A920C2" w:rsidRDefault="00A920C2">
      <w:pPr>
        <w:rPr>
          <w:noProof/>
          <w:lang w:eastAsia="es-ES"/>
        </w:rPr>
      </w:pPr>
    </w:p>
    <w:p w:rsidR="00132B43" w:rsidRDefault="00132B43">
      <w:pPr>
        <w:rPr>
          <w:noProof/>
          <w:lang w:eastAsia="es-ES"/>
        </w:rPr>
      </w:pPr>
    </w:p>
    <w:p w:rsidR="00132B43" w:rsidRDefault="00132B43">
      <w:pPr>
        <w:rPr>
          <w:noProof/>
          <w:lang w:eastAsia="es-ES"/>
        </w:rPr>
      </w:pPr>
    </w:p>
    <w:p w:rsidR="00132B43" w:rsidRDefault="00132B43">
      <w:pPr>
        <w:rPr>
          <w:noProof/>
          <w:lang w:eastAsia="es-ES"/>
        </w:rPr>
      </w:pPr>
    </w:p>
    <w:p w:rsidR="00132B43" w:rsidRDefault="00132B43">
      <w:pPr>
        <w:rPr>
          <w:noProof/>
          <w:lang w:eastAsia="es-ES"/>
        </w:rPr>
      </w:pPr>
    </w:p>
    <w:p w:rsidR="00132B43" w:rsidRDefault="00132B43">
      <w:pPr>
        <w:rPr>
          <w:noProof/>
          <w:lang w:eastAsia="es-ES"/>
        </w:rPr>
      </w:pPr>
    </w:p>
    <w:p w:rsidR="006B511A" w:rsidRDefault="005611F5"/>
    <w:p w:rsidR="00132B43" w:rsidRDefault="00132B43"/>
    <w:sectPr w:rsidR="00132B43" w:rsidSect="00132B43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772"/>
    <w:multiLevelType w:val="multilevel"/>
    <w:tmpl w:val="ACB8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B43"/>
    <w:rsid w:val="000C17FD"/>
    <w:rsid w:val="000F3391"/>
    <w:rsid w:val="00132B43"/>
    <w:rsid w:val="0014040A"/>
    <w:rsid w:val="002C3D09"/>
    <w:rsid w:val="00352DCF"/>
    <w:rsid w:val="00441127"/>
    <w:rsid w:val="005611F5"/>
    <w:rsid w:val="00570A24"/>
    <w:rsid w:val="005F718C"/>
    <w:rsid w:val="00614345"/>
    <w:rsid w:val="006B3CD5"/>
    <w:rsid w:val="007808BA"/>
    <w:rsid w:val="00793066"/>
    <w:rsid w:val="007A67B6"/>
    <w:rsid w:val="008B710C"/>
    <w:rsid w:val="008D4D9E"/>
    <w:rsid w:val="00926C2F"/>
    <w:rsid w:val="009A7B7B"/>
    <w:rsid w:val="00A1550A"/>
    <w:rsid w:val="00A920C2"/>
    <w:rsid w:val="00BB74B2"/>
    <w:rsid w:val="00D41F0A"/>
    <w:rsid w:val="00D93E97"/>
    <w:rsid w:val="00DA0275"/>
    <w:rsid w:val="00E54115"/>
    <w:rsid w:val="00EB550C"/>
    <w:rsid w:val="00F00997"/>
    <w:rsid w:val="00F8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4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E8E3-A1D8-49BC-B4CB-A87EB7C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2018-09-14T05:53:00Z</dcterms:created>
  <dcterms:modified xsi:type="dcterms:W3CDTF">2019-03-19T17:50:00Z</dcterms:modified>
</cp:coreProperties>
</file>