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7"/>
        <w:gridCol w:w="6842"/>
      </w:tblGrid>
      <w:tr>
        <w:trPr>
          <w:trHeight w:val="1276" w:hRule="atLeast"/>
        </w:trPr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837845617" r:id="rId2"/>
              </w:objec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- ACTA DE LA REUNIÓN DE FORMACIÓN EN CENTRO CELEBRADA EL DÍA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DE </w:t>
            </w:r>
            <w:r>
              <w:rPr>
                <w:sz w:val="20"/>
              </w:rPr>
              <w:t>mayo</w:t>
            </w:r>
            <w:r>
              <w:rPr>
                <w:sz w:val="20"/>
              </w:rPr>
              <w:t xml:space="preserve">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 xml:space="preserve">iendo las 17:00 horas del lunes </w:t>
            </w:r>
            <w:r>
              <w:rPr>
                <w:b w:val="false"/>
                <w:sz w:val="20"/>
              </w:rPr>
              <w:t>6</w:t>
            </w:r>
            <w:r>
              <w:rPr>
                <w:b w:val="false"/>
                <w:sz w:val="20"/>
              </w:rPr>
              <w:t xml:space="preserve"> de </w:t>
            </w:r>
            <w:r>
              <w:rPr>
                <w:b w:val="false"/>
                <w:sz w:val="20"/>
              </w:rPr>
              <w:t>mayo</w:t>
            </w:r>
            <w:r>
              <w:rPr>
                <w:b w:val="false"/>
                <w:sz w:val="20"/>
              </w:rPr>
              <w:t>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UDI I VUELTA AL MUNDO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Continuamos con la</w:t>
            </w:r>
            <w:r>
              <w:rPr>
                <w:rFonts w:cs="Arial" w:ascii="Arial" w:hAnsi="Arial"/>
                <w:sz w:val="18"/>
                <w:szCs w:val="18"/>
              </w:rPr>
              <w:t xml:space="preserve"> elabora</w:t>
            </w:r>
            <w:r>
              <w:rPr>
                <w:rFonts w:cs="Arial" w:ascii="Arial" w:hAnsi="Arial"/>
                <w:sz w:val="18"/>
                <w:szCs w:val="18"/>
              </w:rPr>
              <w:t>ción de</w:t>
            </w:r>
            <w:r>
              <w:rPr>
                <w:rFonts w:cs="Arial" w:ascii="Arial" w:hAnsi="Arial"/>
                <w:sz w:val="18"/>
                <w:szCs w:val="18"/>
              </w:rPr>
              <w:t xml:space="preserve"> la UDI I vuelta al Mundo.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Se da por finalizada la reunión a las 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20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: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0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LibreOffice/6.2.3.2$Windows_X86_64 LibreOffice_project/aecc05fe267cc68dde00352a451aa867b3b546ac</Application>
  <Pages>1</Pages>
  <Words>167</Words>
  <Characters>894</Characters>
  <CharactersWithSpaces>1233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2019-06-19T00:25:48Z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