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39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561"/>
        <w:gridCol w:w="565"/>
        <w:gridCol w:w="6239"/>
        <w:gridCol w:w="6628"/>
      </w:tblGrid>
      <w:tr>
        <w:trPr>
          <w:trHeight w:val="983" w:hRule="exact"/>
          <w:cantSplit w:val="true"/>
        </w:trPr>
        <w:tc>
          <w:tcPr>
            <w:tcW w:w="561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Bloque</w:t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Unidad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Contenidos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Criterios</w:t>
            </w:r>
          </w:p>
        </w:tc>
      </w:tr>
      <w:tr>
        <w:trPr>
          <w:trHeight w:val="3547" w:hRule="exact"/>
          <w:cantSplit w:val="true"/>
        </w:trPr>
        <w:tc>
          <w:tcPr>
            <w:tcW w:w="561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1</w:t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1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La actividad científica. El método científico: sus etapas. Medida de magnitudes. Sistema Internacional de Unidades. Utilización de las Tecnologías de la Información y la Comunicación. El trabajo en el laboratorio.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 Reconocer e identificar las características del método científico.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 Valorar la investigación científica y su impacto en la industria y en el desarrollo de la sociedad. CCL,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 Conocer los procedimientos científicos para determinar magnitudes.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 Reconocer los materiales, e instrumentos básicos presentes en los laboratorios de Física y Química; conocer y respetar las normas de seguridad y de eliminación de residuos para la protección del medio ambiente. CCL, CMCT,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Interpretar la información sobre temas científicos de carácter divulgativo que aparece en publicaciones y medios de comunicación. CCL, CSC, CAA.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18"/>
                <w:szCs w:val="18"/>
              </w:rPr>
              <w:t>6. Desarrollar pequeños trabajos de investigación en los que se ponga en práctica la aplicación del método científico y la utilización de las TIC. CCL, CMCT, CD, CAA, SIEP.</w:t>
            </w:r>
          </w:p>
        </w:tc>
      </w:tr>
      <w:tr>
        <w:trPr>
          <w:trHeight w:val="2100" w:hRule="exact"/>
          <w:cantSplit w:val="true"/>
        </w:trPr>
        <w:tc>
          <w:tcPr>
            <w:tcW w:w="561" w:type="dxa"/>
            <w:vMerge w:val="restart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2</w:t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2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Propiedades de la materia. Estados de agregación. Cambios de estado. Modelo cinético-molecular. Leyes de los gases.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 Reconocer las propiedades generales y características de la materia y relacionarlas con su naturaleza y sus aplicaciones.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 Justificar las propiedades de los diferentes estados de agregación de la materia y sus cambios de estado, a través del modelo cinético-molecular.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 w:cstheme="minorHAnsi"/>
                <w:sz w:val="18"/>
                <w:szCs w:val="18"/>
              </w:rPr>
              <w:t>3. Establecer las relaciones entre las variables de las que depende el estado de un gas a partir de representaciones gráficas y/o tablas de resultados obtenidos en experiencias de laboratorio o simulaciones por ordenador. CMCT, CD, CAA.</w:t>
            </w:r>
          </w:p>
        </w:tc>
      </w:tr>
      <w:tr>
        <w:trPr>
          <w:trHeight w:val="1134" w:hRule="exact"/>
          <w:cantSplit w:val="true"/>
        </w:trPr>
        <w:tc>
          <w:tcPr>
            <w:tcW w:w="561" w:type="dxa"/>
            <w:vMerge w:val="continue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3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Sustancias puras y mezclas. Mezclas de especial interés: disoluciones acuosas, aleaciones y coloides. Métodos de separación de mezclas.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4. Identificar sistemas materiales como sustancias puras o mezclas y valorar la importancia y las aplicaciones de mezclas de especial interés. CCL, CMCT, CSC.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sz w:val="20"/>
                <w:szCs w:val="20"/>
              </w:rPr>
              <w:t>5. Proponer métodos de separación de los componentes de una mezcla. CCL, CMCT, CAA.</w:t>
            </w:r>
          </w:p>
        </w:tc>
      </w:tr>
      <w:tr>
        <w:trPr>
          <w:trHeight w:val="2490" w:hRule="exact"/>
          <w:cantSplit w:val="true"/>
        </w:trPr>
        <w:tc>
          <w:tcPr>
            <w:tcW w:w="561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3</w:t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4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Cambios físicos y cambios químicos. La reacción química. La química en la sociedad y el medio ambiente.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 Distinguir entre cambios físicos y químicos mediante la realización de experiencias sencillas que pongan de manifiesto si se forman o no nuevas sustancias. CCL,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 Caracterizar las reacciones químicas como cambios de unas sustancias en otras.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 Reconocer la importancia de la química en la obtención de nuevas sustancias y su importancia en la mejora de la calidad de vida de las personas.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 w:cstheme="minorHAnsi"/>
                <w:sz w:val="18"/>
                <w:szCs w:val="18"/>
              </w:rPr>
              <w:t>7. Valorar la importancia de la industria química en la sociedad y su influencia en el medio ambiente. CCL, CAA, CSC.</w:t>
            </w:r>
          </w:p>
        </w:tc>
      </w:tr>
      <w:tr>
        <w:trPr>
          <w:trHeight w:val="2730" w:hRule="exact"/>
          <w:cantSplit w:val="true"/>
        </w:trPr>
        <w:tc>
          <w:tcPr>
            <w:tcW w:w="561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4</w:t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5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Velocidad media, velocidad instantánea y aceleración. Máquinas simples.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2. Establecer la velocidad de un cuerpo como la relación entre el espacio recorrido y el tiempo invertido en recorrerlo.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 Diferenciar entre velocidad media e instantánea a partir de gráficas espacio/tiempo y velocidad/tiempo, y deducir el valor de la aceleración utilizando éstas últimas.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 Valorar la utilidad de las máquinas simples en la transformación de un movimiento en otro diferente, y la reducción de la fuerza aplicada necesaria. CCL,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 w:cstheme="minorHAnsi"/>
                <w:sz w:val="18"/>
                <w:szCs w:val="18"/>
              </w:rPr>
              <w:t>7. Identificar los diferentes niveles de agrupación entre cuerpos celestes, desde los cúmulos de galaxias a los sistemas planetarios, y analizar el orden de magnitud de las distancias implicadas. CCL, CMCT, CAA.</w:t>
            </w:r>
          </w:p>
        </w:tc>
      </w:tr>
      <w:tr>
        <w:trPr>
          <w:trHeight w:val="1470" w:hRule="exact"/>
          <w:cantSplit w:val="true"/>
        </w:trPr>
        <w:tc>
          <w:tcPr>
            <w:tcW w:w="561" w:type="dxa"/>
            <w:vMerge w:val="restart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5</w:t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6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Energía. Unidades. Tipos. Transformaciones de la energía y su conservación.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1. Reconocer que la energía es la capacidad de producir transformaciones o cambios.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Calibri" w:cstheme="minorHAnsi"/>
                <w:sz w:val="18"/>
                <w:szCs w:val="18"/>
              </w:rPr>
              <w:t>2. Identificar los diferentes tipos de energía puestos de manifiesto en fenómenos cotidianos y en experiencias sencillas realizadas en el laboratorio. CMCT, CAA.</w:t>
            </w:r>
          </w:p>
        </w:tc>
      </w:tr>
      <w:tr>
        <w:trPr>
          <w:trHeight w:val="1185" w:hRule="exact"/>
          <w:cantSplit w:val="true"/>
        </w:trPr>
        <w:tc>
          <w:tcPr>
            <w:tcW w:w="561" w:type="dxa"/>
            <w:vMerge w:val="continue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7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Energía térmica. El calor y la temperatura.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3. Relacionar los conceptos de energía, calor y temperatura en términos de la teoría cinético-molecular y describir los mecanismos por los que se transfiere la energía térmica en diferentes situaciones cotidianas. CCL, CMCT, CAA.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4. Interpretar los efectos de la energía térmica sobre los cuerpos en situaciones cotidianas y en experiencias de laboratorio. CCL, CMCT, CAA, CSC.</w:t>
            </w:r>
          </w:p>
        </w:tc>
      </w:tr>
      <w:tr>
        <w:trPr>
          <w:trHeight w:val="2775" w:hRule="exact"/>
          <w:cantSplit w:val="true"/>
        </w:trPr>
        <w:tc>
          <w:tcPr>
            <w:tcW w:w="561" w:type="dxa"/>
            <w:vMerge w:val="continue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8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Fuentes de energía. Uso racional de la energía. Las energías renovables en Andalucía.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5. Valorar el papel de la energía en nuestras vidas, identificar las diferentes fuentes, comparar el impacto medioambiental de las mismas y reconocer la importancia del ahorro energético para un desarrollo sostenible. CCL,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6. Conocer y comparar las diferentes fuentes de energía empleadas en la vida diaria en un contexto global que implique aspectos económicos y medioambientales. CCL, CAA, CSC, SIEP.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7. Valorar la importancia de realizar un consumo responsable de las fuentes energéticas. CCL, CAA,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12. Reconocer la importancia que las energías renovables tienen en Andalucía.</w:t>
            </w:r>
          </w:p>
        </w:tc>
      </w:tr>
      <w:tr>
        <w:trPr>
          <w:trHeight w:val="2385" w:hRule="exact"/>
          <w:cantSplit w:val="true"/>
        </w:trPr>
        <w:tc>
          <w:tcPr>
            <w:tcW w:w="561" w:type="dxa"/>
            <w:vMerge w:val="continue"/>
            <w:tcBorders/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/>
            </w:r>
          </w:p>
        </w:tc>
        <w:tc>
          <w:tcPr>
            <w:tcW w:w="565" w:type="dxa"/>
            <w:tcBorders/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  <w:t>9</w:t>
            </w:r>
          </w:p>
        </w:tc>
        <w:tc>
          <w:tcPr>
            <w:tcW w:w="623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luz. El sonido.</w:t>
            </w:r>
          </w:p>
        </w:tc>
        <w:tc>
          <w:tcPr>
            <w:tcW w:w="662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13. Identificar los fenómenos de reflexión y refracción de la luz.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14. Reconocer los fenómenos de eco y reverberación. CMCT.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15. Valorar el problema de la contaminación acústica y lumínica. CCL, CSC.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16. Elaborar y defender un proyecto de investigación sobre instrumentos ópticos aplicando las TIC. CCL, CD, CAA, SIEP.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810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LibreOffice/5.0.5.2$Linux_x86 LibreOffice_project/00m0$Build-2</Application>
  <Paragraphs>58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2018-11-24T21:09:00Z</dcterms:created>
  <dc:creator>Juan Ramón Cancelada</dc:creator>
  <dc:language>es-ES</dc:language>
  <cp:lastModifiedBy>usuario </cp:lastModifiedBy>
  <dcterms:modified xsi:type="dcterms:W3CDTF">2019-01-11T12:41:49Z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