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/>
      </w:tblPr>
      <w:tblGrid>
        <w:gridCol w:w="6912"/>
        <w:gridCol w:w="2694"/>
        <w:gridCol w:w="2551"/>
        <w:gridCol w:w="2693"/>
      </w:tblGrid>
      <w:tr w:rsidR="00F62546" w:rsidRPr="008778C1" w:rsidTr="00D7415E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Pr="006E66A4" w:rsidRDefault="00F62546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7938" w:type="dxa"/>
            <w:gridSpan w:val="3"/>
            <w:shd w:val="clear" w:color="auto" w:fill="767171" w:themeFill="background2" w:themeFillShade="80"/>
          </w:tcPr>
          <w:p w:rsidR="00F62546" w:rsidRDefault="00F62546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</w:tcPr>
          <w:p w:rsidR="00091268" w:rsidRPr="008778C1" w:rsidRDefault="00753F25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desarrollado dinámicas de trabajo para dar respuesta a las diferentes fases del p</w:t>
            </w:r>
            <w:bookmarkStart w:id="0" w:name="_GoBack"/>
            <w:bookmarkEnd w:id="0"/>
            <w:r w:rsidRPr="00912D73">
              <w:rPr>
                <w:rFonts w:eastAsia="MS Gothic" w:cs="Times New Roman"/>
              </w:rPr>
              <w:t>royecto</w:t>
            </w:r>
          </w:p>
        </w:tc>
        <w:tc>
          <w:tcPr>
            <w:tcW w:w="2694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</w:tcPr>
          <w:p w:rsidR="006E66A4" w:rsidRPr="008778C1" w:rsidRDefault="006E66A4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E66A4" w:rsidRPr="008778C1" w:rsidRDefault="006E66A4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</w:tcPr>
          <w:p w:rsidR="00E0284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</w:tcPr>
          <w:p w:rsidR="00C302F6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C302F6" w:rsidRPr="008778C1" w:rsidRDefault="00C302F6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Se han subido todas las actas a colabora</w:t>
            </w:r>
          </w:p>
        </w:tc>
        <w:tc>
          <w:tcPr>
            <w:tcW w:w="2694" w:type="dxa"/>
          </w:tcPr>
          <w:p w:rsidR="0009126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utilizado colabora como un repositorio de todos los materiales elaborados por el grupo</w:t>
            </w:r>
          </w:p>
        </w:tc>
        <w:tc>
          <w:tcPr>
            <w:tcW w:w="2694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</w:tcPr>
          <w:p w:rsidR="00C302F6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C302F6" w:rsidRPr="008778C1" w:rsidRDefault="00C302F6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</w:tcPr>
          <w:p w:rsidR="0009126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694" w:type="dxa"/>
          </w:tcPr>
          <w:p w:rsidR="00091268" w:rsidRPr="008778C1" w:rsidRDefault="002D02B7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753F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2E198E" w:rsidRDefault="002E198E" w:rsidP="002E198E">
            <w:r>
              <w:t>El aprendizaje cooperativo permite al alumnado autorregularse como grupo, consensuando sus propias normas de aceptación o de expulsión cuando alguien flojea y vive del resto.</w:t>
            </w:r>
          </w:p>
          <w:p w:rsidR="002E198E" w:rsidRDefault="002E198E" w:rsidP="002E198E">
            <w:r>
              <w:t xml:space="preserve">Permite el intercambio de aprendizaje y la consolidación de los mismos, también el tema de la coevaluación. </w:t>
            </w:r>
          </w:p>
          <w:p w:rsidR="002E198E" w:rsidRDefault="002E198E" w:rsidP="002E198E">
            <w:r>
              <w:t>Las sesiones de formación han sido bastante productivas para la mayoría, porque nos ofrecen otro tipo de estrategias y recursos con los que algunos no habían trabajado nunca.</w:t>
            </w:r>
          </w:p>
          <w:p w:rsidR="0076744A" w:rsidRDefault="002E198E" w:rsidP="0076744A">
            <w:r>
              <w:t>L</w:t>
            </w:r>
            <w:r w:rsidR="005B101E">
              <w:t>a motivación de los alumnos y las ganas de emprender tareas nuevas.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6"/>
            </w:tblGrid>
            <w:tr w:rsidR="0076744A">
              <w:trPr>
                <w:trHeight w:val="110"/>
              </w:trPr>
              <w:tc>
                <w:tcPr>
                  <w:tcW w:w="0" w:type="auto"/>
                </w:tcPr>
                <w:p w:rsidR="0076744A" w:rsidRDefault="0076744A" w:rsidP="00C86007">
                  <w:pPr>
                    <w:pStyle w:val="Default"/>
                    <w:framePr w:hSpace="141" w:wrap="around" w:hAnchor="margin" w:xAlign="center" w:y="1050"/>
                    <w:rPr>
                      <w:bCs/>
                      <w:sz w:val="22"/>
                      <w:szCs w:val="22"/>
                    </w:rPr>
                  </w:pPr>
                  <w:r w:rsidRPr="0076744A">
                    <w:rPr>
                      <w:bCs/>
                      <w:sz w:val="22"/>
                      <w:szCs w:val="22"/>
                    </w:rPr>
                    <w:t>Aplicación de las nuevas m</w:t>
                  </w:r>
                  <w:r>
                    <w:rPr>
                      <w:bCs/>
                      <w:sz w:val="22"/>
                      <w:szCs w:val="22"/>
                    </w:rPr>
                    <w:t>etodologías activas en el aula</w:t>
                  </w:r>
                  <w:r w:rsidR="00077997">
                    <w:rPr>
                      <w:bCs/>
                      <w:sz w:val="22"/>
                      <w:szCs w:val="22"/>
                    </w:rPr>
                    <w:t xml:space="preserve"> (por ejemplo los talleres de matemáticas desarrollados por un experto dentro de las aulas, en presencia de quien imparte esa asignatura en dichas aulas; o las técnicas de Oralidad)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76744A" w:rsidRPr="005B101E" w:rsidRDefault="005B101E" w:rsidP="00C86007">
                  <w:pPr>
                    <w:framePr w:hSpace="141" w:wrap="around" w:hAnchor="margin" w:xAlign="center" w:y="1050"/>
                  </w:pPr>
                  <w:r>
                    <w:t>La implicación de la mayoría del Claustro  en el proceso de formación.</w:t>
                  </w:r>
                </w:p>
              </w:tc>
            </w:tr>
          </w:tbl>
          <w:p w:rsidR="00680025" w:rsidRPr="00912D73" w:rsidRDefault="00680025" w:rsidP="005B101E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2E198E" w:rsidRDefault="002E198E" w:rsidP="002E198E">
            <w:pPr>
              <w:autoSpaceDE w:val="0"/>
              <w:autoSpaceDN w:val="0"/>
              <w:adjustRightInd w:val="0"/>
            </w:pPr>
            <w:r>
              <w:t>No conseguir algún miembro del Claustro aprender dinámicas de metodologías manipulativas en Matemáticas, así como en la resolución de problemas.</w:t>
            </w:r>
          </w:p>
          <w:p w:rsidR="002E198E" w:rsidRDefault="0076744A" w:rsidP="0076744A">
            <w:pPr>
              <w:autoSpaceDE w:val="0"/>
              <w:autoSpaceDN w:val="0"/>
              <w:adjustRightInd w:val="0"/>
            </w:pPr>
            <w:r w:rsidRPr="0076744A">
              <w:t>La parte de las nuevas tecnologías (mindomos, padlets, gen</w:t>
            </w:r>
            <w:r>
              <w:t>ially,</w:t>
            </w:r>
            <w:r w:rsidRPr="0076744A">
              <w:t xml:space="preserve">etc)  no se han podido desarrollar por </w:t>
            </w:r>
            <w:r>
              <w:t xml:space="preserve">algunos compañeros por </w:t>
            </w:r>
            <w:r w:rsidRPr="0076744A">
              <w:t xml:space="preserve">falta </w:t>
            </w:r>
            <w:r>
              <w:t>de formación (se requiere más tiempo de formación y práctica para implementar más efectivamente su uso).</w:t>
            </w:r>
          </w:p>
          <w:p w:rsidR="00716E7A" w:rsidRPr="005B101E" w:rsidRDefault="0076744A" w:rsidP="0076744A">
            <w:pPr>
              <w:autoSpaceDE w:val="0"/>
              <w:autoSpaceDN w:val="0"/>
              <w:adjustRightInd w:val="0"/>
            </w:pPr>
            <w:r w:rsidRPr="005B101E">
              <w:t>Demasiados proyectos para ser llevados a cabo de forma eficaz</w:t>
            </w:r>
            <w:r w:rsidR="00716E7A" w:rsidRPr="005B101E">
              <w:t xml:space="preserve">. </w:t>
            </w:r>
            <w:r w:rsidR="00077997" w:rsidRPr="005B101E">
              <w:t>Se puede profundizar poco</w:t>
            </w:r>
            <w:r w:rsidR="00BD17B9">
              <w:t xml:space="preserve"> </w:t>
            </w:r>
            <w:r w:rsidR="00077997" w:rsidRPr="005B101E">
              <w:rPr>
                <w:rFonts w:ascii="Verdana" w:hAnsi="Verdana" w:cs="TrebuchetMS-Bold"/>
                <w:bCs/>
                <w:sz w:val="20"/>
                <w:szCs w:val="20"/>
              </w:rPr>
              <w:t>en cada una de las temáticas tratadas.</w:t>
            </w:r>
          </w:p>
          <w:p w:rsidR="00716E7A" w:rsidRPr="005B101E" w:rsidRDefault="00716E7A" w:rsidP="00716E7A">
            <w:pPr>
              <w:pStyle w:val="Default"/>
            </w:pPr>
            <w:r w:rsidRPr="005B101E">
              <w:rPr>
                <w:bCs/>
                <w:sz w:val="22"/>
                <w:szCs w:val="22"/>
              </w:rPr>
              <w:t xml:space="preserve">La falta de tiempo para el diseño de nuevas actividades. </w:t>
            </w:r>
          </w:p>
          <w:p w:rsidR="0076744A" w:rsidRDefault="0076744A" w:rsidP="0076744A">
            <w:pPr>
              <w:pStyle w:val="Default"/>
            </w:pPr>
            <w:r>
              <w:t>Coordinación de todo el profesorado</w:t>
            </w:r>
          </w:p>
          <w:p w:rsidR="00077997" w:rsidRDefault="00077997" w:rsidP="0076744A">
            <w:pPr>
              <w:pStyle w:val="Default"/>
            </w:pPr>
            <w:r>
              <w:t>Demasiada burocracia.</w:t>
            </w:r>
          </w:p>
          <w:p w:rsidR="00077997" w:rsidRDefault="00077997" w:rsidP="0076744A">
            <w:pPr>
              <w:pStyle w:val="Default"/>
            </w:pPr>
            <w:r>
              <w:t>Algunos alumnos han tenido dificultades al asimilar las técnicas del cooperativo.</w:t>
            </w:r>
          </w:p>
          <w:p w:rsidR="00077997" w:rsidRDefault="00077997" w:rsidP="0076744A">
            <w:pPr>
              <w:pStyle w:val="Default"/>
            </w:pPr>
          </w:p>
          <w:p w:rsidR="0076744A" w:rsidRPr="0076744A" w:rsidRDefault="0076744A" w:rsidP="0076744A">
            <w:pPr>
              <w:pStyle w:val="Default"/>
            </w:pPr>
          </w:p>
        </w:tc>
      </w:tr>
      <w:tr w:rsidR="00680025" w:rsidRPr="008778C1" w:rsidTr="005645B8">
        <w:tc>
          <w:tcPr>
            <w:tcW w:w="14850" w:type="dxa"/>
            <w:gridSpan w:val="4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lastRenderedPageBreak/>
              <w:t>PROPUESTAS DE MEJORA</w:t>
            </w:r>
          </w:p>
          <w:p w:rsidR="0076744A" w:rsidRPr="0076744A" w:rsidRDefault="0076744A" w:rsidP="0076744A">
            <w:r>
              <w:t xml:space="preserve">Formación en las herramientas digitales para su uso con el alumnado </w:t>
            </w:r>
            <w:r w:rsidRPr="0076744A">
              <w:t>desde el primer trimestre</w:t>
            </w:r>
            <w:r>
              <w:t>,</w:t>
            </w:r>
            <w:r w:rsidRPr="0076744A">
              <w:t xml:space="preserve"> para poder abordarlas en el aula cuanto antes</w:t>
            </w:r>
            <w:r>
              <w:t>.</w:t>
            </w:r>
          </w:p>
          <w:p w:rsidR="0076744A" w:rsidRDefault="0076744A" w:rsidP="0076744A">
            <w:r>
              <w:t>Centrarnos en un proyecto cada curso académico. Inicialmente en metodología OAOA y resolución de problemas.</w:t>
            </w:r>
          </w:p>
          <w:p w:rsidR="0076744A" w:rsidRDefault="0076744A" w:rsidP="0076744A">
            <w:pPr>
              <w:pStyle w:val="Default"/>
              <w:rPr>
                <w:bCs/>
                <w:sz w:val="22"/>
                <w:szCs w:val="22"/>
              </w:rPr>
            </w:pPr>
            <w:r w:rsidRPr="0076744A">
              <w:rPr>
                <w:bCs/>
                <w:sz w:val="22"/>
                <w:szCs w:val="22"/>
              </w:rPr>
              <w:t>Elaboración y selección de materiales motiva</w:t>
            </w:r>
            <w:r w:rsidR="00716E7A">
              <w:rPr>
                <w:bCs/>
                <w:sz w:val="22"/>
                <w:szCs w:val="22"/>
              </w:rPr>
              <w:t>dores para utilizar en el aula.</w:t>
            </w:r>
          </w:p>
          <w:p w:rsidR="00716E7A" w:rsidRDefault="00716E7A" w:rsidP="0076744A">
            <w:pPr>
              <w:pStyle w:val="Default"/>
              <w:rPr>
                <w:bCs/>
                <w:sz w:val="22"/>
                <w:szCs w:val="22"/>
              </w:rPr>
            </w:pPr>
          </w:p>
          <w:p w:rsidR="00716E7A" w:rsidRDefault="00716E7A" w:rsidP="00716E7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Articular algunas reuniones periódicas en las que el profesorado intercambie conocimientos adquiridos en cursos de formación, experiencias de éxito en el aula y de buenas prácticas.</w:t>
            </w:r>
          </w:p>
          <w:p w:rsidR="00716E7A" w:rsidRDefault="00716E7A" w:rsidP="00716E7A">
            <w:pPr>
              <w:pStyle w:val="Default"/>
              <w:rPr>
                <w:bCs/>
                <w:sz w:val="22"/>
                <w:szCs w:val="22"/>
              </w:rPr>
            </w:pPr>
          </w:p>
          <w:p w:rsidR="00716E7A" w:rsidRDefault="00716E7A" w:rsidP="00716E7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Retomar el curso que viene la formación en aprendizaje cooperativo, la cual este año no ha podido llevarse a cabo.</w:t>
            </w:r>
          </w:p>
          <w:p w:rsidR="00C86007" w:rsidRDefault="00C86007" w:rsidP="00716E7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Estructurar un Plan de Oralidad por niveles</w:t>
            </w:r>
          </w:p>
          <w:p w:rsidR="00077997" w:rsidRDefault="00077997" w:rsidP="00716E7A">
            <w:pPr>
              <w:pStyle w:val="Default"/>
              <w:rPr>
                <w:bCs/>
                <w:sz w:val="22"/>
                <w:szCs w:val="22"/>
              </w:rPr>
            </w:pPr>
          </w:p>
          <w:p w:rsidR="00077997" w:rsidRDefault="00077997" w:rsidP="00716E7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Mayor coordinación interciclos.</w:t>
            </w:r>
          </w:p>
          <w:p w:rsidR="00E20CD0" w:rsidRPr="00E20CD0" w:rsidRDefault="00E20CD0" w:rsidP="00E20CD0">
            <w:r>
              <w:t>Hacer más sesiones adaptadas a Educación Infantil</w:t>
            </w:r>
          </w:p>
          <w:p w:rsidR="00077997" w:rsidRDefault="00077997" w:rsidP="00077997">
            <w:r>
              <w:t>Continuar aprendiendo y utilizando estos cambios metodológicos</w:t>
            </w:r>
          </w:p>
          <w:p w:rsidR="005B101E" w:rsidRDefault="005B101E" w:rsidP="005B101E">
            <w:r>
              <w:t>Dedicar más sesiones diarias/semanales para realizar actividades más acordes con las metodologías activas.</w:t>
            </w:r>
          </w:p>
          <w:p w:rsidR="00077997" w:rsidRDefault="00077997" w:rsidP="00077997">
            <w:r>
              <w:t xml:space="preserve">Hacer más sesiones adaptadas a Educación Infantil. </w:t>
            </w:r>
          </w:p>
          <w:p w:rsidR="00077997" w:rsidRDefault="00077997" w:rsidP="00077997">
            <w:r>
              <w:t>Intentar producir materiales adecuados para Infantil, para que puedan ser llevados a cabo a la práctica por parte del ciclo.</w:t>
            </w:r>
          </w:p>
          <w:p w:rsidR="00680025" w:rsidRPr="005B101E" w:rsidRDefault="00077997" w:rsidP="005B101E">
            <w:r>
              <w:t>Realizar  procesos  de  coevaluación y auto</w:t>
            </w:r>
            <w:r w:rsidR="005B101E">
              <w:t>evaluación a lo largo del curso.</w:t>
            </w: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4E" w:rsidRDefault="00F26E4E" w:rsidP="00243BB1">
      <w:pPr>
        <w:spacing w:after="0" w:line="240" w:lineRule="auto"/>
      </w:pPr>
      <w:r>
        <w:separator/>
      </w:r>
    </w:p>
  </w:endnote>
  <w:endnote w:type="continuationSeparator" w:id="1">
    <w:p w:rsidR="00F26E4E" w:rsidRDefault="00F26E4E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4E" w:rsidRDefault="00F26E4E" w:rsidP="00243BB1">
      <w:pPr>
        <w:spacing w:after="0" w:line="240" w:lineRule="auto"/>
      </w:pPr>
      <w:r>
        <w:separator/>
      </w:r>
    </w:p>
  </w:footnote>
  <w:footnote w:type="continuationSeparator" w:id="1">
    <w:p w:rsidR="00F26E4E" w:rsidRDefault="00F26E4E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CFB"/>
    <w:rsid w:val="00077997"/>
    <w:rsid w:val="00091268"/>
    <w:rsid w:val="000C523B"/>
    <w:rsid w:val="001329AB"/>
    <w:rsid w:val="00137813"/>
    <w:rsid w:val="0020693B"/>
    <w:rsid w:val="00207BBB"/>
    <w:rsid w:val="00237A6B"/>
    <w:rsid w:val="00243BB1"/>
    <w:rsid w:val="002D02B7"/>
    <w:rsid w:val="002E198E"/>
    <w:rsid w:val="00373CFB"/>
    <w:rsid w:val="004B4571"/>
    <w:rsid w:val="004F5E63"/>
    <w:rsid w:val="005B101E"/>
    <w:rsid w:val="00670957"/>
    <w:rsid w:val="00680025"/>
    <w:rsid w:val="006E66A4"/>
    <w:rsid w:val="00716E7A"/>
    <w:rsid w:val="00744FCC"/>
    <w:rsid w:val="00753F25"/>
    <w:rsid w:val="0076744A"/>
    <w:rsid w:val="007B2D51"/>
    <w:rsid w:val="007B72BB"/>
    <w:rsid w:val="007D5CDD"/>
    <w:rsid w:val="008736D2"/>
    <w:rsid w:val="00891A0D"/>
    <w:rsid w:val="00912D73"/>
    <w:rsid w:val="00A00B47"/>
    <w:rsid w:val="00A778BC"/>
    <w:rsid w:val="00A85C94"/>
    <w:rsid w:val="00AA1CDA"/>
    <w:rsid w:val="00B33D07"/>
    <w:rsid w:val="00BD17B9"/>
    <w:rsid w:val="00C302F6"/>
    <w:rsid w:val="00C86007"/>
    <w:rsid w:val="00CD36F5"/>
    <w:rsid w:val="00D36D97"/>
    <w:rsid w:val="00D75058"/>
    <w:rsid w:val="00E02848"/>
    <w:rsid w:val="00E14113"/>
    <w:rsid w:val="00E20CD0"/>
    <w:rsid w:val="00E813C9"/>
    <w:rsid w:val="00F26E4E"/>
    <w:rsid w:val="00F62546"/>
    <w:rsid w:val="00FC2C52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customStyle="1" w:styleId="Default">
    <w:name w:val="Default"/>
    <w:rsid w:val="00767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customStyle="1" w:styleId="Default">
    <w:name w:val="Default"/>
    <w:rsid w:val="00767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HP</cp:lastModifiedBy>
  <cp:revision>6</cp:revision>
  <dcterms:created xsi:type="dcterms:W3CDTF">2018-10-26T19:01:00Z</dcterms:created>
  <dcterms:modified xsi:type="dcterms:W3CDTF">2019-06-03T07:31:00Z</dcterms:modified>
</cp:coreProperties>
</file>