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65" w:rsidRPr="009713DB" w:rsidRDefault="00D85C65" w:rsidP="00270D1F">
      <w:pPr>
        <w:spacing w:before="120" w:after="0" w:line="300" w:lineRule="atLeast"/>
        <w:ind w:left="-360" w:right="-496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</w:pPr>
      <w:r w:rsidRPr="009713DB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>ADOLESCENCIA Y SEXUALIDAD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¿Qué son las ITS?</w:t>
      </w:r>
    </w:p>
    <w:p w:rsidR="00D85C65" w:rsidRPr="00E533EA" w:rsidRDefault="00D85C65" w:rsidP="00270D1F">
      <w:pPr>
        <w:spacing w:after="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Las infecciones de transmisión sexual (ITS) son enfermedades que se contagian con las relaciones sexuales. Hay muchos tipos. Pueden ser causadas </w:t>
      </w: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por </w:t>
      </w:r>
      <w:hyperlink r:id="rId5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virus</w:t>
        </w:r>
      </w:hyperlink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,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 bacterias y parásitos.</w:t>
      </w:r>
    </w:p>
    <w:p w:rsidR="00D85C65" w:rsidRPr="00270D1F" w:rsidRDefault="00D85C65" w:rsidP="00270D1F">
      <w:pPr>
        <w:spacing w:after="0" w:line="300" w:lineRule="atLeast"/>
        <w:ind w:left="-357" w:right="-493"/>
        <w:jc w:val="both"/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</w:pPr>
      <w:r w:rsidRPr="009713DB">
        <w:rPr>
          <w:rFonts w:ascii="Arial" w:hAnsi="Arial" w:cs="Arial"/>
          <w:color w:val="000000"/>
          <w:sz w:val="21"/>
          <w:szCs w:val="21"/>
          <w:lang w:eastAsia="es-ES"/>
        </w:rPr>
        <w:t>Son muy frecuentes y generalmente leves (</w:t>
      </w:r>
      <w:hyperlink r:id="rId6" w:history="1">
        <w:r w:rsidRPr="009713DB">
          <w:rPr>
            <w:rFonts w:ascii="Arial" w:hAnsi="Arial" w:cs="Arial"/>
            <w:color w:val="000000"/>
            <w:sz w:val="21"/>
            <w:szCs w:val="21"/>
            <w:lang w:eastAsia="es-ES"/>
          </w:rPr>
          <w:t>condilomas</w:t>
        </w:r>
      </w:hyperlink>
      <w:r w:rsidRPr="009713DB">
        <w:rPr>
          <w:rFonts w:ascii="Arial" w:hAnsi="Arial" w:cs="Arial"/>
          <w:color w:val="000000"/>
          <w:sz w:val="21"/>
          <w:szCs w:val="21"/>
          <w:lang w:eastAsia="es-ES"/>
        </w:rPr>
        <w:t>, </w:t>
      </w:r>
      <w:hyperlink r:id="rId7" w:history="1">
        <w:r w:rsidRPr="009713DB">
          <w:rPr>
            <w:rFonts w:ascii="Arial" w:hAnsi="Arial" w:cs="Arial"/>
            <w:color w:val="000000"/>
            <w:sz w:val="21"/>
            <w:szCs w:val="21"/>
            <w:lang w:eastAsia="es-ES"/>
          </w:rPr>
          <w:t>sarna</w:t>
        </w:r>
      </w:hyperlink>
      <w:r w:rsidRPr="009713DB">
        <w:rPr>
          <w:rFonts w:ascii="Arial" w:hAnsi="Arial" w:cs="Arial"/>
          <w:color w:val="000000"/>
          <w:sz w:val="21"/>
          <w:szCs w:val="21"/>
          <w:lang w:eastAsia="es-ES"/>
        </w:rPr>
        <w:t xml:space="preserve">, piojos, </w:t>
      </w:r>
      <w:proofErr w:type="spellStart"/>
      <w:r w:rsidRPr="009713DB">
        <w:rPr>
          <w:rFonts w:ascii="Arial" w:hAnsi="Arial" w:cs="Arial"/>
          <w:color w:val="000000"/>
          <w:sz w:val="21"/>
          <w:szCs w:val="21"/>
          <w:lang w:eastAsia="es-ES"/>
        </w:rPr>
        <w:t>etc</w:t>
      </w:r>
      <w:proofErr w:type="spellEnd"/>
      <w:r w:rsidRPr="009713DB">
        <w:rPr>
          <w:rFonts w:ascii="Arial" w:hAnsi="Arial" w:cs="Arial"/>
          <w:color w:val="000000"/>
          <w:sz w:val="21"/>
          <w:szCs w:val="21"/>
          <w:lang w:eastAsia="es-ES"/>
        </w:rPr>
        <w:t>). Pero también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 pueden ser graves, como la infección por el </w:t>
      </w:r>
      <w:hyperlink r:id="rId8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virus de la inmunodeficiencia humana (VIH)</w:t>
        </w:r>
      </w:hyperlink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, los </w:t>
      </w:r>
      <w:hyperlink r:id="rId9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virus de la hepatitis</w:t>
        </w:r>
      </w:hyperlink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 B y C (VHB y VHC), etc. Además hay ITS que siendo leves, si no se tratan pueden causar complicaciones graves (como </w:t>
      </w:r>
      <w:hyperlink r:id="rId10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la sífilis</w:t>
        </w:r>
      </w:hyperlink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 o la infección por </w:t>
      </w:r>
      <w:r w:rsidRPr="00270D1F">
        <w:rPr>
          <w:rFonts w:ascii="Arial" w:hAnsi="Arial" w:cs="Arial"/>
          <w:i/>
          <w:iCs/>
          <w:color w:val="0D0D0D" w:themeColor="text1" w:themeTint="F2"/>
          <w:sz w:val="21"/>
          <w:szCs w:val="21"/>
          <w:lang w:eastAsia="es-ES"/>
        </w:rPr>
        <w:t>Chlamydia</w:t>
      </w: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). O la infección por el </w:t>
      </w:r>
      <w:hyperlink r:id="rId11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virus del papiloma humano</w:t>
        </w:r>
      </w:hyperlink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.</w:t>
      </w:r>
    </w:p>
    <w:p w:rsidR="00D85C65" w:rsidRPr="00270D1F" w:rsidRDefault="00D85C65" w:rsidP="00270D1F">
      <w:pPr>
        <w:spacing w:after="0" w:line="300" w:lineRule="atLeast"/>
        <w:ind w:left="-357" w:right="-493"/>
        <w:jc w:val="both"/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</w:pP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Afectan sobre todo a adolescentes sexualmente activos (hasta un 25% de ellos pueden tener una ITS). La falta de una </w:t>
      </w:r>
      <w:hyperlink r:id="rId12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educación sexual</w:t>
        </w:r>
      </w:hyperlink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, los prejuicios sexuales y la </w:t>
      </w:r>
      <w:hyperlink r:id="rId13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vergüenza a consultar con el médico</w:t>
        </w:r>
      </w:hyperlink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 suelen ser las causas.</w:t>
      </w:r>
    </w:p>
    <w:p w:rsidR="00D85C65" w:rsidRPr="00270D1F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</w:pPr>
      <w:r w:rsidRPr="00270D1F">
        <w:rPr>
          <w:rFonts w:ascii="Arial" w:hAnsi="Arial" w:cs="Arial"/>
          <w:b/>
          <w:bCs/>
          <w:color w:val="0D0D0D" w:themeColor="text1" w:themeTint="F2"/>
          <w:sz w:val="21"/>
          <w:szCs w:val="21"/>
          <w:lang w:eastAsia="es-ES"/>
        </w:rPr>
        <w:t>¿Cómo puedo contagiarme?</w:t>
      </w:r>
    </w:p>
    <w:p w:rsidR="00D85C65" w:rsidRPr="00270D1F" w:rsidRDefault="00D85C65" w:rsidP="00270D1F">
      <w:pPr>
        <w:spacing w:after="0" w:line="300" w:lineRule="atLeast"/>
        <w:ind w:left="-357" w:right="-493"/>
        <w:jc w:val="both"/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</w:pP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Con cualquier tipo de relación sexual (vaginal, anal, oral, etc.) desde personas ya contagiadas.</w:t>
      </w:r>
    </w:p>
    <w:p w:rsidR="00D85C65" w:rsidRPr="00270D1F" w:rsidRDefault="00D85C65" w:rsidP="00270D1F">
      <w:pPr>
        <w:spacing w:before="120" w:after="120" w:line="300" w:lineRule="atLeast"/>
        <w:ind w:left="-357" w:right="-493"/>
        <w:jc w:val="both"/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</w:pP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Los factores que aumentan el riesgo de contagio son:</w:t>
      </w:r>
    </w:p>
    <w:p w:rsidR="00D85C65" w:rsidRPr="00270D1F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</w:pP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 xml:space="preserve">              -  el mayor número de parejas sexuales,</w:t>
      </w:r>
    </w:p>
    <w:p w:rsidR="00D85C65" w:rsidRPr="00270D1F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</w:pP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 xml:space="preserve">              -  el consumo de drogas inyectables,</w:t>
      </w:r>
    </w:p>
    <w:p w:rsidR="00D85C65" w:rsidRPr="00270D1F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</w:pP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 xml:space="preserve">              -  el haber padecido antes una ITS,</w:t>
      </w:r>
    </w:p>
    <w:p w:rsidR="00D85C65" w:rsidRPr="00270D1F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</w:pP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 xml:space="preserve">              -  no usar </w:t>
      </w:r>
      <w:hyperlink r:id="rId14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métodos anticonceptivos</w:t>
        </w:r>
      </w:hyperlink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 de barrera.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¿Qué notaré si tengo una ITS?</w:t>
      </w:r>
    </w:p>
    <w:p w:rsidR="00D85C65" w:rsidRPr="00E533EA" w:rsidRDefault="00D85C65" w:rsidP="00270D1F">
      <w:pPr>
        <w:spacing w:before="120" w:after="12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Los síntomas que da una ITS son variables. En muchos casos no te darás cuenta. Suelen localizarse en genitales, pero a veces aparecen otros (fiebre prolongada, cansancio, dolores musculares en todo el cuerpo, manchas en manos y pies, etc.). Los síntomas genitales más frecuentes son: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 picor o escozor genital o anal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 dolor al orinar, al defecar o al mantener relaciones sexuales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 rojeces, ampollas, úlceras o verrugas genitales o anales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 aumento o cambio de color u olor del flujo vaginal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 aparición de flujo o mal olor en el pene.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¿Como puedo saber si tengo una ITS?</w:t>
      </w:r>
    </w:p>
    <w:p w:rsidR="00D85C65" w:rsidRPr="00E533EA" w:rsidRDefault="00D85C65" w:rsidP="00270D1F">
      <w:pPr>
        <w:spacing w:before="120" w:after="12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El diagnóstico de las ITS es fácil. Suele bastar con la exploración física por parte de tu médico. En muchos casos te hará pruebas, como cultivos de las secreciones vaginales o del pene y análisis de orina y de sangre.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¿Qué tengo que hacer para tratar una ITS?</w:t>
      </w:r>
    </w:p>
    <w:p w:rsidR="00D85C65" w:rsidRPr="00E533EA" w:rsidRDefault="00D85C65" w:rsidP="00270D1F">
      <w:pPr>
        <w:spacing w:after="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Vete al médico. No sigas los consejos de amigos o las trates por tu cuenta.</w:t>
      </w:r>
    </w:p>
    <w:p w:rsidR="00D85C65" w:rsidRPr="00E533EA" w:rsidRDefault="00D85C65" w:rsidP="00270D1F">
      <w:pPr>
        <w:spacing w:after="12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Las ITS que causan bacterias y parásitos se tratan con fármacos por vía oral y/o tópica (en forma de cremas u óvulos vaginales) y se quitan bien.</w:t>
      </w:r>
    </w:p>
    <w:p w:rsidR="00D85C65" w:rsidRPr="00E533EA" w:rsidRDefault="00D85C65" w:rsidP="00270D1F">
      <w:pPr>
        <w:spacing w:before="120" w:after="12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Las ITS por virus, generalmente, no se curan con un tratamiento. En general, basta con tratar los síntomas hasta que se resuelven por </w:t>
      </w:r>
      <w:proofErr w:type="spellStart"/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si</w:t>
      </w:r>
      <w:proofErr w:type="spellEnd"/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 mismas (herpes genital). Otras veces hay que tratarlas de forma crónica para que no se compliquen (como en el caso del VIH y de las hepatitis B y C).</w:t>
      </w:r>
    </w:p>
    <w:p w:rsidR="00270D1F" w:rsidRDefault="00270D1F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b/>
          <w:bCs/>
          <w:color w:val="000000"/>
          <w:sz w:val="21"/>
          <w:szCs w:val="21"/>
          <w:lang w:eastAsia="es-ES"/>
        </w:rPr>
      </w:pP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lastRenderedPageBreak/>
        <w:t>¿Qué debo hacer para evitar contagiarme de una ITS?</w:t>
      </w:r>
    </w:p>
    <w:p w:rsidR="00D85C65" w:rsidRPr="00E533EA" w:rsidRDefault="00D85C65" w:rsidP="00270D1F">
      <w:pPr>
        <w:spacing w:after="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Lo más importante es la prevención, evitando su contagio. Para ello es importante diagnosticarlas lo antes posible. Sigue estos consejos:</w:t>
      </w:r>
    </w:p>
    <w:p w:rsidR="00D85C65" w:rsidRPr="00E533EA" w:rsidRDefault="00D85C65" w:rsidP="00270D1F">
      <w:pPr>
        <w:spacing w:after="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1. Ante cualquier duda, si tienes riesgo de contagio o tienes algún síntoma vete a tu médico. Él te dirá que hacer.</w:t>
      </w:r>
    </w:p>
    <w:p w:rsidR="00D85C65" w:rsidRPr="00E533EA" w:rsidRDefault="00D85C65" w:rsidP="00270D1F">
      <w:pPr>
        <w:spacing w:after="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2. La única forma de evitar su contagio es no mantener relaciones sexuales.</w:t>
      </w:r>
    </w:p>
    <w:p w:rsidR="00D85C65" w:rsidRPr="00E533EA" w:rsidRDefault="00D85C65" w:rsidP="00270D1F">
      <w:pPr>
        <w:spacing w:after="0" w:line="300" w:lineRule="atLeast"/>
        <w:ind w:left="-357" w:right="-493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3. Pero si las vas a tener:</w:t>
      </w:r>
    </w:p>
    <w:p w:rsidR="00D85C65" w:rsidRPr="00E533EA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        -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Evita las relaciones de riesgo (múltiples parejas, parejas desconocidas, etc.).</w:t>
      </w:r>
    </w:p>
    <w:p w:rsidR="00D85C65" w:rsidRPr="00E533EA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        -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Pregunta a tu pareja si tiene o ha tenido alguna ITS. </w:t>
      </w:r>
    </w:p>
    <w:p w:rsidR="00D85C65" w:rsidRPr="00E533EA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        -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Usa métodos de </w:t>
      </w:r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barrera (</w:t>
      </w:r>
      <w:hyperlink r:id="rId15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condón</w:t>
        </w:r>
      </w:hyperlink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)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 sea cual sea el tipo de relación sexual.</w:t>
      </w:r>
    </w:p>
    <w:p w:rsidR="00D85C65" w:rsidRPr="00E533EA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        -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Mantén una adecuada higiene genital. Lava tus genitales con agua y jabón tras mantener una relación sexual.</w:t>
      </w:r>
    </w:p>
    <w:p w:rsidR="00D85C65" w:rsidRPr="00E533EA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        -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Haz revisiones médicas o ginecológicas periódicas tras iniciar las relaciones sexuales.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Existen falsos mitos en torno a las ITS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 “</w:t>
      </w:r>
      <w:r w:rsidRPr="00E533EA">
        <w:rPr>
          <w:rFonts w:ascii="Arial" w:hAnsi="Arial" w:cs="Arial"/>
          <w:i/>
          <w:iCs/>
          <w:color w:val="000000"/>
          <w:sz w:val="21"/>
          <w:szCs w:val="21"/>
          <w:lang w:eastAsia="es-ES"/>
        </w:rPr>
        <w:t>Si utilizamos el condón no nos podemos contagiar”.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 FALSO.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Los </w:t>
      </w:r>
      <w:hyperlink r:id="rId16" w:history="1">
        <w:r w:rsidRPr="00270D1F">
          <w:rPr>
            <w:rFonts w:ascii="Arial" w:hAnsi="Arial" w:cs="Arial"/>
            <w:color w:val="0D0D0D" w:themeColor="text1" w:themeTint="F2"/>
            <w:sz w:val="21"/>
            <w:szCs w:val="21"/>
            <w:lang w:eastAsia="es-ES"/>
          </w:rPr>
          <w:t>preservativos</w:t>
        </w:r>
      </w:hyperlink>
      <w:r w:rsidRPr="00270D1F">
        <w:rPr>
          <w:rFonts w:ascii="Arial" w:hAnsi="Arial" w:cs="Arial"/>
          <w:color w:val="0D0D0D" w:themeColor="text1" w:themeTint="F2"/>
          <w:sz w:val="21"/>
          <w:szCs w:val="21"/>
          <w:lang w:eastAsia="es-ES"/>
        </w:rPr>
        <w:t> 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no son eficaces al 100%, pero disminuyen mucho el riesgo de contagio. </w:t>
      </w:r>
      <w:proofErr w:type="gramStart"/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Además</w:t>
      </w:r>
      <w:proofErr w:type="gramEnd"/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 hay ITS que se transmiten a través del contacto piel con piel y no es necesario mantener relaciones sexuales (herpes, verrugas genitales, ladillas, etc.).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 </w:t>
      </w:r>
      <w:r w:rsidRPr="00E533EA">
        <w:rPr>
          <w:rFonts w:ascii="Arial" w:hAnsi="Arial" w:cs="Arial"/>
          <w:i/>
          <w:iCs/>
          <w:color w:val="000000"/>
          <w:sz w:val="21"/>
          <w:szCs w:val="21"/>
          <w:lang w:eastAsia="es-ES"/>
        </w:rPr>
        <w:t>“Yo no tengo una ITS porque no noto nada”.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 FALSO.</w:t>
      </w:r>
    </w:p>
    <w:p w:rsidR="00D85C65" w:rsidRPr="00E533EA" w:rsidRDefault="00D85C65" w:rsidP="00270D1F">
      <w:pPr>
        <w:spacing w:before="120" w:after="24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Hay algunas ITS que no dan síntomas al </w:t>
      </w:r>
      <w:proofErr w:type="gramStart"/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inicio</w:t>
      </w:r>
      <w:proofErr w:type="gramEnd"/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 pero sí después.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 </w:t>
      </w:r>
      <w:r w:rsidRPr="00E533EA">
        <w:rPr>
          <w:rFonts w:ascii="Arial" w:hAnsi="Arial" w:cs="Arial"/>
          <w:i/>
          <w:iCs/>
          <w:color w:val="000000"/>
          <w:sz w:val="21"/>
          <w:szCs w:val="21"/>
          <w:lang w:eastAsia="es-ES"/>
        </w:rPr>
        <w:t>“Como yo ya tuve una ITS no puedo padecerla más veces”.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 FALSO.</w:t>
      </w:r>
    </w:p>
    <w:p w:rsidR="00D85C65" w:rsidRPr="00E533EA" w:rsidRDefault="00D85C65" w:rsidP="00270D1F">
      <w:pPr>
        <w:spacing w:before="120" w:after="24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Algunas ITS pueden volver a aparecer una vez resueltas si vuelves a contactar con una persona infectada.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RECUERDA</w:t>
      </w:r>
    </w:p>
    <w:p w:rsidR="00D85C65" w:rsidRPr="00E533EA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        -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Las ITS son muy frecuentes y cualquier persona sexualmente activa puede contagiarse.</w:t>
      </w:r>
    </w:p>
    <w:p w:rsidR="00D85C65" w:rsidRPr="00E533EA" w:rsidRDefault="00D85C65" w:rsidP="00270D1F">
      <w:pPr>
        <w:spacing w:before="120" w:after="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        -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Es fundamental el uso del preservativo para disminuir el riesgo de contagio.</w:t>
      </w:r>
    </w:p>
    <w:p w:rsidR="00D85C65" w:rsidRDefault="00D85C65" w:rsidP="00270D1F">
      <w:pPr>
        <w:spacing w:before="12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        -  </w:t>
      </w: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 xml:space="preserve">Ante cualquier </w:t>
      </w:r>
      <w:bookmarkStart w:id="0" w:name="_GoBack"/>
      <w:bookmarkEnd w:id="0"/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duda o síntoma genital, consulta con tu médico. </w:t>
      </w:r>
    </w:p>
    <w:p w:rsidR="00D85C65" w:rsidRDefault="00D85C65" w:rsidP="00270D1F">
      <w:pPr>
        <w:spacing w:before="120" w:line="300" w:lineRule="atLeast"/>
        <w:ind w:left="-720" w:right="-496"/>
        <w:jc w:val="both"/>
        <w:rPr>
          <w:rFonts w:ascii="Arial" w:hAnsi="Arial" w:cs="Arial"/>
          <w:b/>
          <w:bCs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 </w:t>
      </w:r>
      <w:r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ACTIVIDADES</w:t>
      </w:r>
    </w:p>
    <w:p w:rsidR="00D85C65" w:rsidRDefault="00D85C65" w:rsidP="00270D1F">
      <w:pPr>
        <w:spacing w:before="12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 xml:space="preserve">     </w:t>
      </w:r>
      <w:r w:rsidRPr="006C2D90">
        <w:rPr>
          <w:rFonts w:ascii="Arial" w:hAnsi="Arial" w:cs="Arial"/>
          <w:color w:val="000000"/>
          <w:sz w:val="21"/>
          <w:szCs w:val="21"/>
          <w:lang w:eastAsia="es-ES"/>
        </w:rPr>
        <w:t xml:space="preserve">1.- ¿Qué son las </w:t>
      </w:r>
      <w:proofErr w:type="gramStart"/>
      <w:r w:rsidRPr="006C2D90">
        <w:rPr>
          <w:rFonts w:ascii="Arial" w:hAnsi="Arial" w:cs="Arial"/>
          <w:color w:val="000000"/>
          <w:sz w:val="21"/>
          <w:szCs w:val="21"/>
          <w:lang w:eastAsia="es-ES"/>
        </w:rPr>
        <w:t>ITS</w:t>
      </w:r>
      <w:r>
        <w:rPr>
          <w:rFonts w:ascii="Arial" w:hAnsi="Arial" w:cs="Arial"/>
          <w:color w:val="000000"/>
          <w:sz w:val="21"/>
          <w:szCs w:val="21"/>
          <w:lang w:eastAsia="es-ES"/>
        </w:rPr>
        <w:t>?.</w:t>
      </w:r>
      <w:proofErr w:type="gramEnd"/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Nombra alguna de ellas.</w:t>
      </w:r>
    </w:p>
    <w:p w:rsidR="00D85C65" w:rsidRDefault="00D85C65" w:rsidP="00270D1F">
      <w:pPr>
        <w:spacing w:before="12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2.- ¿Cuáles suelen ser las causas principales por las que afectan a los adolescentes</w:t>
      </w:r>
    </w:p>
    <w:p w:rsidR="00D85C65" w:rsidRDefault="00D85C65" w:rsidP="00270D1F">
      <w:pPr>
        <w:spacing w:before="12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3.- ¿Cuáles son las causas principales de contagio?</w:t>
      </w:r>
    </w:p>
    <w:p w:rsidR="00D85C65" w:rsidRDefault="00D85C65" w:rsidP="00270D1F">
      <w:pPr>
        <w:spacing w:before="12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4.- ¿Qué debo hacer para saber si tengo una ITS?</w:t>
      </w:r>
    </w:p>
    <w:p w:rsidR="00D85C65" w:rsidRDefault="00D85C65" w:rsidP="00270D1F">
      <w:pPr>
        <w:spacing w:before="12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     5.- Señala si es verdadero o falso y por qué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 “</w:t>
      </w:r>
      <w:r w:rsidRPr="00E533EA">
        <w:rPr>
          <w:rFonts w:ascii="Arial" w:hAnsi="Arial" w:cs="Arial"/>
          <w:i/>
          <w:iCs/>
          <w:color w:val="000000"/>
          <w:sz w:val="21"/>
          <w:szCs w:val="21"/>
          <w:lang w:eastAsia="es-ES"/>
        </w:rPr>
        <w:t>Las ITS sólo se transmiten a través de relaciones sexuales vaginales”</w:t>
      </w:r>
      <w:r>
        <w:rPr>
          <w:rFonts w:ascii="Arial" w:hAnsi="Arial" w:cs="Arial"/>
          <w:color w:val="000000"/>
          <w:sz w:val="21"/>
          <w:szCs w:val="21"/>
          <w:lang w:eastAsia="es-ES"/>
        </w:rPr>
        <w:t xml:space="preserve">. </w:t>
      </w:r>
    </w:p>
    <w:p w:rsidR="00D85C65" w:rsidRPr="00E533EA" w:rsidRDefault="00D85C65" w:rsidP="00270D1F">
      <w:pPr>
        <w:spacing w:before="120" w:after="0" w:line="300" w:lineRule="atLeast"/>
        <w:ind w:left="-36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  <w:r w:rsidRPr="00E533EA">
        <w:rPr>
          <w:rFonts w:ascii="Arial" w:hAnsi="Arial" w:cs="Arial"/>
          <w:color w:val="000000"/>
          <w:sz w:val="21"/>
          <w:szCs w:val="21"/>
          <w:lang w:eastAsia="es-ES"/>
        </w:rPr>
        <w:t>- </w:t>
      </w:r>
      <w:r w:rsidRPr="00E533EA">
        <w:rPr>
          <w:rFonts w:ascii="Arial" w:hAnsi="Arial" w:cs="Arial"/>
          <w:i/>
          <w:iCs/>
          <w:color w:val="000000"/>
          <w:sz w:val="21"/>
          <w:szCs w:val="21"/>
          <w:lang w:eastAsia="es-ES"/>
        </w:rPr>
        <w:t>“Las ITS las tienen sólo las personas promiscuas”.</w:t>
      </w:r>
      <w:r>
        <w:rPr>
          <w:rFonts w:ascii="Arial" w:hAnsi="Arial" w:cs="Arial"/>
          <w:color w:val="000000"/>
          <w:sz w:val="21"/>
          <w:szCs w:val="21"/>
          <w:lang w:eastAsia="es-ES"/>
        </w:rPr>
        <w:t> </w:t>
      </w:r>
    </w:p>
    <w:p w:rsidR="00D85C65" w:rsidRPr="006C2D90" w:rsidRDefault="00D85C65" w:rsidP="00270D1F">
      <w:pPr>
        <w:spacing w:before="120" w:line="300" w:lineRule="atLeast"/>
        <w:ind w:left="-720" w:right="-496"/>
        <w:jc w:val="both"/>
        <w:rPr>
          <w:rFonts w:ascii="Arial" w:hAnsi="Arial" w:cs="Arial"/>
          <w:color w:val="000000"/>
          <w:sz w:val="21"/>
          <w:szCs w:val="21"/>
          <w:lang w:eastAsia="es-ES"/>
        </w:rPr>
      </w:pPr>
    </w:p>
    <w:p w:rsidR="00D85C65" w:rsidRPr="00E533EA" w:rsidRDefault="00270D1F" w:rsidP="00270D1F">
      <w:pPr>
        <w:numPr>
          <w:ilvl w:val="0"/>
          <w:numId w:val="5"/>
        </w:numPr>
        <w:tabs>
          <w:tab w:val="clear" w:pos="720"/>
          <w:tab w:val="num" w:pos="-360"/>
        </w:tabs>
        <w:spacing w:before="120" w:after="0" w:line="300" w:lineRule="atLeast"/>
        <w:ind w:left="-360" w:right="-496"/>
        <w:rPr>
          <w:rFonts w:ascii="Arial" w:hAnsi="Arial" w:cs="Arial"/>
          <w:color w:val="FFFFFF"/>
          <w:sz w:val="21"/>
          <w:szCs w:val="21"/>
          <w:u w:val="single"/>
          <w:lang w:eastAsia="es-ES"/>
        </w:rPr>
      </w:pPr>
      <w:hyperlink r:id="rId17" w:tooltip="Mostrar una versión para imprimir de esta página." w:history="1">
        <w:r w:rsidR="00D85C65" w:rsidRPr="00E533EA">
          <w:rPr>
            <w:rFonts w:ascii="Arial" w:hAnsi="Arial" w:cs="Arial"/>
            <w:color w:val="FFFFFF"/>
            <w:sz w:val="21"/>
            <w:szCs w:val="21"/>
            <w:lang w:eastAsia="es-ES"/>
          </w:rPr>
          <w:t>Versión para impresión</w:t>
        </w:r>
      </w:hyperlink>
    </w:p>
    <w:p w:rsidR="00D85C65" w:rsidRPr="00E533EA" w:rsidRDefault="00D85C65" w:rsidP="00270D1F">
      <w:pPr>
        <w:spacing w:before="120" w:after="0" w:line="360" w:lineRule="atLeast"/>
        <w:ind w:left="-360" w:right="-496"/>
        <w:rPr>
          <w:rFonts w:ascii="Arial" w:hAnsi="Arial" w:cs="Arial"/>
          <w:color w:val="FFFFFF"/>
          <w:sz w:val="20"/>
          <w:szCs w:val="20"/>
          <w:lang w:eastAsia="es-ES"/>
        </w:rPr>
      </w:pPr>
      <w:r w:rsidRPr="00E533EA">
        <w:rPr>
          <w:rFonts w:ascii="Arial" w:hAnsi="Arial" w:cs="Arial"/>
          <w:color w:val="FFFFFF"/>
          <w:sz w:val="20"/>
          <w:szCs w:val="20"/>
          <w:lang w:eastAsia="es-ES"/>
        </w:rPr>
        <w:lastRenderedPageBreak/>
        <w:t> </w:t>
      </w:r>
    </w:p>
    <w:p w:rsidR="00D85C65" w:rsidRPr="00C44944" w:rsidRDefault="00270D1F" w:rsidP="00C44944">
      <w:pPr>
        <w:numPr>
          <w:ilvl w:val="0"/>
          <w:numId w:val="5"/>
        </w:numPr>
        <w:spacing w:before="120" w:after="0" w:line="300" w:lineRule="atLeast"/>
        <w:ind w:left="-360" w:right="-496"/>
        <w:rPr>
          <w:rFonts w:ascii="Arial" w:hAnsi="Arial" w:cs="Arial"/>
          <w:color w:val="FFFFFF"/>
          <w:sz w:val="21"/>
          <w:szCs w:val="21"/>
          <w:u w:val="single"/>
          <w:lang w:eastAsia="es-ES"/>
        </w:rPr>
      </w:pPr>
      <w:hyperlink r:id="rId18" w:tooltip="Send this page by email." w:history="1">
        <w:r w:rsidR="00D85C65" w:rsidRPr="00E533EA">
          <w:rPr>
            <w:rFonts w:ascii="Arial" w:hAnsi="Arial" w:cs="Arial"/>
            <w:color w:val="FFFFFF"/>
            <w:sz w:val="21"/>
            <w:szCs w:val="21"/>
            <w:lang w:eastAsia="es-ES"/>
          </w:rPr>
          <w:t>Enviar a un amigo</w:t>
        </w:r>
      </w:hyperlink>
    </w:p>
    <w:sectPr w:rsidR="00D85C65" w:rsidRPr="00C44944" w:rsidSect="00C20EE7">
      <w:pgSz w:w="11906" w:h="16838"/>
      <w:pgMar w:top="107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13DC"/>
    <w:multiLevelType w:val="multilevel"/>
    <w:tmpl w:val="37D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E9F2381"/>
    <w:multiLevelType w:val="multilevel"/>
    <w:tmpl w:val="7FF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4925958"/>
    <w:multiLevelType w:val="multilevel"/>
    <w:tmpl w:val="9FA4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813693E"/>
    <w:multiLevelType w:val="multilevel"/>
    <w:tmpl w:val="5D7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B635E4F"/>
    <w:multiLevelType w:val="multilevel"/>
    <w:tmpl w:val="9A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C5D1F5B"/>
    <w:multiLevelType w:val="multilevel"/>
    <w:tmpl w:val="5EA0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739C0"/>
    <w:multiLevelType w:val="multilevel"/>
    <w:tmpl w:val="912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8B06E8D"/>
    <w:multiLevelType w:val="multilevel"/>
    <w:tmpl w:val="DB9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7C7C"/>
    <w:rsid w:val="00090F64"/>
    <w:rsid w:val="0018125A"/>
    <w:rsid w:val="00201874"/>
    <w:rsid w:val="00270D1F"/>
    <w:rsid w:val="002F38F1"/>
    <w:rsid w:val="00320386"/>
    <w:rsid w:val="0034740A"/>
    <w:rsid w:val="00363B4E"/>
    <w:rsid w:val="004E2EE7"/>
    <w:rsid w:val="00624C6A"/>
    <w:rsid w:val="006C2D90"/>
    <w:rsid w:val="006C6447"/>
    <w:rsid w:val="006F2744"/>
    <w:rsid w:val="00847C7C"/>
    <w:rsid w:val="00860831"/>
    <w:rsid w:val="00961377"/>
    <w:rsid w:val="009713DB"/>
    <w:rsid w:val="009978B3"/>
    <w:rsid w:val="009D5FB9"/>
    <w:rsid w:val="00C20EE7"/>
    <w:rsid w:val="00C44944"/>
    <w:rsid w:val="00D85C65"/>
    <w:rsid w:val="00DB71BF"/>
    <w:rsid w:val="00DF4A72"/>
    <w:rsid w:val="00E533EA"/>
    <w:rsid w:val="00F3092A"/>
    <w:rsid w:val="00F95715"/>
    <w:rsid w:val="00FE0626"/>
    <w:rsid w:val="00FE79A7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1B146"/>
  <w15:docId w15:val="{2236D934-3AFD-4E12-940A-AE9A66D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25A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908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90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908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5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5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5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5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1297B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4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5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91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5491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54911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5491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5491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49088">
          <w:marLeft w:val="0"/>
          <w:marRight w:val="0"/>
          <w:marTop w:val="0"/>
          <w:marBottom w:val="0"/>
          <w:divBdr>
            <w:top w:val="single" w:sz="6" w:space="2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101">
                          <w:marLeft w:val="255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5490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095">
                          <w:marLeft w:val="255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49122">
                          <w:marLeft w:val="255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5491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076">
                          <w:marLeft w:val="255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5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107">
                          <w:marLeft w:val="255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aysalud.es/sintomas-y-enfermedades/infecciones/de-la-p-la-z/vih-y-sida-un-problema-de-salud-prevenible-que" TargetMode="External"/><Relationship Id="rId13" Type="http://schemas.openxmlformats.org/officeDocument/2006/relationships/hyperlink" Target="http://www.familiaysalud.es/mas-informacion-util/relacion-con-nuestros-pacientes/informacion-y-comunicacion/tengo-dudas-y-no-se" TargetMode="External"/><Relationship Id="rId18" Type="http://schemas.openxmlformats.org/officeDocument/2006/relationships/hyperlink" Target="http://www.familiaysalud.es/printmail/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iaysalud.es/sintomas-y-enfermedades/la-piel/infecciones-de-la-piel/sarna" TargetMode="External"/><Relationship Id="rId12" Type="http://schemas.openxmlformats.org/officeDocument/2006/relationships/hyperlink" Target="http://www.familiaysalud.es/salud-joven/para-padres-de-adolescentes-y-publico-en-general/podemos-hablar-de-sexo-papa-mama-como" TargetMode="External"/><Relationship Id="rId17" Type="http://schemas.openxmlformats.org/officeDocument/2006/relationships/hyperlink" Target="http://www.familiaysalud.es/print/8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miliaysalud.es/salud-joven/sexualidad/metodos-anticonceptivos/el-condon-o-preservativo-masculi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miliaysalud.es/salud-joven/sexualidad/riesgos-en-sexualidad/verrugas-genitales-y-condilomas-con-el-preservativo-ya" TargetMode="External"/><Relationship Id="rId11" Type="http://schemas.openxmlformats.org/officeDocument/2006/relationships/hyperlink" Target="http://www.familiaysalud.es/salud-joven/sexualidad/riesgos-en-sexualidad/verrugas-genitales-y-condilomas-con-el-preservativo-ya" TargetMode="External"/><Relationship Id="rId5" Type="http://schemas.openxmlformats.org/officeDocument/2006/relationships/hyperlink" Target="http://www.familiaysalud.es/sintomas-y-enfermedades/infecciones/fiebre-e-infecciones/virus-y-bacterias-en-que-se-diferencian" TargetMode="External"/><Relationship Id="rId15" Type="http://schemas.openxmlformats.org/officeDocument/2006/relationships/hyperlink" Target="http://www.familiaysalud.es/salud-joven/sexualidad/metodos-anticonceptivos/el-condon-o-preservativo-masculino" TargetMode="External"/><Relationship Id="rId10" Type="http://schemas.openxmlformats.org/officeDocument/2006/relationships/hyperlink" Target="http://www.familiaysalud.es/salud-joven/sexualidad/riesgos-en-sexualidad/sifilis-la-conoc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miliaysalud.es/sintomas-y-enfermedades/infecciones/de-la-h-la-o/hepatitis" TargetMode="External"/><Relationship Id="rId14" Type="http://schemas.openxmlformats.org/officeDocument/2006/relationships/hyperlink" Target="http://www.familiaysalud.es/salud-joven/sexualidad/metodos-anticonceptivos/anticoncepcion-en-adolescen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1031</Words>
  <Characters>5674</Characters>
  <Application>Microsoft Office Word</Application>
  <DocSecurity>0</DocSecurity>
  <Lines>47</Lines>
  <Paragraphs>13</Paragraphs>
  <ScaleCrop>false</ScaleCrop>
  <Company>ies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son las ITS</dc:title>
  <dc:subject/>
  <dc:creator>usuario</dc:creator>
  <cp:keywords/>
  <dc:description/>
  <cp:lastModifiedBy>usuario</cp:lastModifiedBy>
  <cp:revision>8</cp:revision>
  <cp:lastPrinted>2019-03-19T09:15:00Z</cp:lastPrinted>
  <dcterms:created xsi:type="dcterms:W3CDTF">2019-03-19T08:45:00Z</dcterms:created>
  <dcterms:modified xsi:type="dcterms:W3CDTF">2019-03-27T08:05:00Z</dcterms:modified>
</cp:coreProperties>
</file>