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UNIDAD DIDÁCTICA 1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Una imagen vale más que mil palabras</w:t>
      </w:r>
    </w:p>
    <w:tbl>
      <w:tblPr>
        <w:tblStyle w:val="style154"/>
        <w:tblW w:w="14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283"/>
        <w:gridCol w:w="567"/>
        <w:gridCol w:w="142"/>
        <w:gridCol w:w="567"/>
        <w:gridCol w:w="1703"/>
        <w:gridCol w:w="1559"/>
        <w:gridCol w:w="3827"/>
        <w:gridCol w:w="1134"/>
        <w:gridCol w:w="2410"/>
        <w:gridCol w:w="425"/>
        <w:gridCol w:w="14"/>
        <w:gridCol w:w="994"/>
      </w:tblGrid>
      <w:tr>
        <w:trPr>
          <w:trHeight w:val="321" w:hRule="atLeast"/>
        </w:trPr>
        <w:tc>
          <w:tcPr>
            <w:tcW w:w="2125" w:type="dxa"/>
            <w:gridSpan w:val="5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8790" w:type="dxa"/>
            <w:gridSpan w:val="5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Aproximadamente desde 17 de septiembre al 12 de octubre.    </w:t>
            </w:r>
          </w:p>
        </w:tc>
        <w:tc>
          <w:tcPr>
            <w:tcW w:w="2835" w:type="dxa"/>
            <w:gridSpan w:val="2"/>
            <w:tcBorders/>
            <w:shd w:val="clear" w:color="auto" w:fill="8db3e2"/>
          </w:tcPr>
          <w:p>
            <w:pPr>
              <w:pStyle w:val="style0"/>
              <w:tabs>
                <w:tab w:val="left" w:leader="none" w:pos="2444"/>
              </w:tabs>
              <w:ind w:right="318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Número de Sesiones</w:t>
            </w:r>
          </w:p>
        </w:tc>
        <w:tc>
          <w:tcPr>
            <w:tcW w:w="1008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</w:tr>
      <w:tr>
        <w:tblPrEx/>
        <w:trPr/>
        <w:tc>
          <w:tcPr>
            <w:tcW w:w="2125" w:type="dxa"/>
            <w:gridSpan w:val="5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Justificación</w:t>
            </w:r>
          </w:p>
        </w:tc>
        <w:tc>
          <w:tcPr>
            <w:tcW w:w="12633" w:type="dxa"/>
            <w:gridSpan w:val="9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En esta unidad pretendemos recoger y repasar los conocimientos del curso anterior. Así como retomar los hábitos de trabajo y estudio. Pretendemos captar la atención de los alumnos y crear los cimientos básicos necesarios en las siguientes unidades.</w:t>
            </w:r>
          </w:p>
        </w:tc>
      </w:tr>
      <w:tr>
        <w:tblPrEx/>
        <w:trPr>
          <w:trHeight w:val="104" w:hRule="atLeast"/>
        </w:trPr>
        <w:tc>
          <w:tcPr>
            <w:tcW w:w="2125" w:type="dxa"/>
            <w:gridSpan w:val="5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Objetivos de la unidad</w:t>
            </w:r>
          </w:p>
        </w:tc>
        <w:tc>
          <w:tcPr>
            <w:tcW w:w="12633" w:type="dxa"/>
            <w:gridSpan w:val="9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Comprender la importancia del lenguaje verbal y no verbal, en los diferentes ámbitos.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Conocer los diferentes registros de la lengua.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Comprender la pluralidad lingüística de España, en su riqueza léxica.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Conocer y utilizar mecanismos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 formación léxica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para enriquecer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su propia lengua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y uso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 Conocer la funcionalidad de la ortografía y la importancia de la RAE.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 Utilizar la tecnología y aplicaciones con fines didácticos.</w:t>
            </w:r>
          </w:p>
        </w:tc>
      </w:tr>
      <w:tr>
        <w:tblPrEx/>
        <w:trPr>
          <w:cantSplit/>
          <w:trHeight w:val="370" w:hRule="atLeast"/>
        </w:trPr>
        <w:tc>
          <w:tcPr>
            <w:tcW w:w="565" w:type="dxa"/>
            <w:vMerge w:val="restart"/>
            <w:tcBorders/>
            <w:shd w:val="clear" w:color="auto" w:fill="8db3e2"/>
            <w:textDirection w:val="btLr"/>
          </w:tcPr>
          <w:p>
            <w:pPr>
              <w:pStyle w:val="style0"/>
              <w:widowControl w:val="false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Perfil Competencial</w:t>
            </w:r>
          </w:p>
        </w:tc>
        <w:tc>
          <w:tcPr>
            <w:tcW w:w="5389" w:type="dxa"/>
            <w:gridSpan w:val="7"/>
            <w:tcBorders/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827" w:type="dxa"/>
            <w:tcBorders/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CRITERIOS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DE EVALUACIÓN</w:t>
            </w:r>
          </w:p>
        </w:tc>
        <w:tc>
          <w:tcPr>
            <w:tcW w:w="3544" w:type="dxa"/>
            <w:gridSpan w:val="2"/>
            <w:tcBorders/>
            <w:shd w:val="clear" w:color="auto" w:fill="92d050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ESTÁNDARES</w:t>
            </w:r>
          </w:p>
        </w:tc>
        <w:tc>
          <w:tcPr>
            <w:tcW w:w="439" w:type="dxa"/>
            <w:gridSpan w:val="2"/>
            <w:vMerge w:val="restart"/>
            <w:tcBorders/>
            <w:shd w:val="clear" w:color="auto" w:fill="92d050"/>
            <w:textDirection w:val="btL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COMPETENCIAS  CLAVE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CCL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CD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CPAA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SIEE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CEC</w:t>
            </w:r>
          </w:p>
        </w:tc>
      </w:tr>
      <w:tr>
        <w:tblPrEx/>
        <w:trPr>
          <w:trHeight w:val="54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/>
            <w:shd w:val="clear" w:color="auto" w:fill="ff0000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Bloque 1.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Comunicación oral: escuchar y hablar. 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Observación y comprensión del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sentido global de entrevistas,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conversaciones y aplicación de las normas básicas de la comunicación.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Conocimiento y uso 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normas en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comunicación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oral.</w:t>
            </w:r>
          </w:p>
        </w:tc>
        <w:tc>
          <w:tcPr>
            <w:tcW w:w="3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Reconocer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interpretar y evaluar las producciones propias y ajenas, 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sí como los aspectos prosódicos.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Reproducir situaciones reales potenciando el desarrollo de las habilidades sociales, la expresión verbal y no verbal.</w:t>
            </w:r>
          </w:p>
        </w:tc>
        <w:tc>
          <w:tcPr>
            <w:tcW w:w="3544" w:type="dxa"/>
            <w:gridSpan w:val="2"/>
            <w:tcBorders/>
          </w:tcPr>
          <w:p>
            <w:pPr>
              <w:pStyle w:val="style179"/>
              <w:ind w:left="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 Reconoce la importancia de los aspectos prosódicos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 empleo de ayuda audiovisual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en cualquier tipo de discurso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 Dramatización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situaciones reales de comunicación.</w:t>
            </w:r>
          </w:p>
        </w:tc>
        <w:tc>
          <w:tcPr>
            <w:tcW w:w="439" w:type="dxa"/>
            <w:gridSpan w:val="2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/>
            <w:shd w:val="clear" w:color="auto" w:fill="ff0000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Bloque 2.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Comunicación escrita: leer y escribir.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Actitud crítica y reflexiva ante la lectura.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Conocimiento y 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so de técnicas para producción de textos escritos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planificación, obtención de datos, organización de la información, redacción y revisión.</w:t>
            </w:r>
          </w:p>
        </w:tc>
        <w:tc>
          <w:tcPr>
            <w:tcW w:w="3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Manifestar 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ctitud crítica ante la lectura de cualquier tipo de textos, que permita identificar posturas en acuerdo y desacuerdo, respetando la opiniones de los demás.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Aplicar estrategias para producir textos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adecuados, coherentes y cohesionados.</w:t>
            </w: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 Elabora propia interpretación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del significado de un texto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2.1. Escribe textos en diferentes soportes usando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un registro adecuado y organizando las ideas con claridad, enlazando enunciados cohesionados y respetando las normas gramaticales y ortográficas.</w:t>
            </w:r>
          </w:p>
        </w:tc>
        <w:tc>
          <w:tcPr>
            <w:tcW w:w="439" w:type="dxa"/>
            <w:gridSpan w:val="2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CCL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CPAA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CD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CEC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/>
            <w:shd w:val="clear" w:color="auto" w:fill="ff0000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Bloque 3.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Conocimiento de la lengua.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Reflexión y explicación del uso de prefijos y sufijos.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Conocimiento,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uso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 valoración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 normas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ortográficas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 gramaticales reconociendo su valor social y la necesidad de ceñirse a ellas para obtener comunicación eficiente.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Conocimiento de los diferentes registros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 factores que inciden en el uso de la lengua en distintos ámbitos, y la utilización de un registro adecuado según la situación comunicativa.</w:t>
            </w:r>
          </w:p>
        </w:tc>
        <w:tc>
          <w:tcPr>
            <w:tcW w:w="3827" w:type="dxa"/>
            <w:tcBorders/>
          </w:tcPr>
          <w:p>
            <w:pPr>
              <w:pStyle w:val="style179"/>
              <w:ind w:left="3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Reconocer y explicar el significado de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los principales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prefijos y sufijos., y sus posibilidades de combinación para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crear nuevas palabras.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Aplicar conocimientos sobre la lengua, para resolver problemas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 comprensión y expresión de los textos para la revisión progresivamente autónoma de los textos propios y ajenos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Reconocer y usar diferentes registros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lingüísticos en función de los ámbitos sociales, valorando la importancia de usar el registro adecuado en cada momento.</w:t>
            </w: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 Reconoce procedimientos de la formación de palabras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explicando el valor de sufijos y prefijos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 Forma palabras a partir de otras categorías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utilizando distintos procedimientos lingüísticos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 Revisa sus discursos aplicando las normas ortográficas  y gramaticales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reconociendo su valor social para una comunicación eficiente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3.1. Valora la importancia del registro adecuado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 cada situación comunicativa y lo aplica.</w:t>
            </w:r>
          </w:p>
        </w:tc>
        <w:tc>
          <w:tcPr>
            <w:tcW w:w="439" w:type="dxa"/>
            <w:gridSpan w:val="2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CCL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CD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CPAA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/>
            <w:shd w:val="clear" w:color="auto" w:fill="ff0000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Bloque 4.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Educación literaria.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Lectura libre de obras literarias como fuente de placer.</w:t>
            </w:r>
          </w:p>
        </w:tc>
        <w:tc>
          <w:tcPr>
            <w:tcW w:w="3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Fomentar el hábito lector como fuente de conocimiento y ocio.</w:t>
            </w: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 Lee en voz alta modulando la voz y con elementos de la comunicación no verbal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" w:type="dxa"/>
            <w:gridSpan w:val="2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CCL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CPAA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CSC</w:t>
            </w:r>
          </w:p>
        </w:tc>
      </w:tr>
      <w:tr>
        <w:tblPrEx/>
        <w:trPr/>
        <w:tc>
          <w:tcPr>
            <w:tcW w:w="1983" w:type="dxa"/>
            <w:gridSpan w:val="4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Elementos Transversales</w:t>
            </w:r>
          </w:p>
        </w:tc>
        <w:tc>
          <w:tcPr>
            <w:tcW w:w="12775" w:type="dxa"/>
            <w:gridSpan w:val="10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Las competencias personales y las habilidades sociales, a través de los trabajos en grupo.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 igualdad real entre mujeres y hombres.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Las habilidades básicas para la comunicación interpersonal.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 utilización crítica y el autocontrol en el uso de las tecnologías.</w:t>
            </w:r>
          </w:p>
        </w:tc>
      </w:tr>
      <w:tr>
        <w:tblPrEx/>
        <w:trPr>
          <w:trHeight w:val="54" w:hRule="atLeast"/>
        </w:trPr>
        <w:tc>
          <w:tcPr>
            <w:tcW w:w="565" w:type="dxa"/>
            <w:vMerge w:val="restart"/>
            <w:tcBorders/>
            <w:shd w:val="clear" w:color="auto" w:fill="8db3e2"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Metodología</w:t>
            </w:r>
          </w:p>
        </w:tc>
        <w:tc>
          <w:tcPr>
            <w:tcW w:w="14193" w:type="dxa"/>
            <w:gridSpan w:val="13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Será abierta, flexible 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activa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Con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la alternancia de explicaciones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 práctica. El trabajo en grupo y colaborativo.</w:t>
            </w:r>
          </w:p>
        </w:tc>
      </w:tr>
      <w:tr>
        <w:tblPrEx/>
        <w:trPr>
          <w:trHeight w:val="2119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/>
            <w:shd w:val="clear" w:color="auto" w:fill="ff5050"/>
            <w:textDirection w:val="btLr"/>
          </w:tcPr>
          <w:p>
            <w:pPr>
              <w:pStyle w:val="style0"/>
              <w:tabs>
                <w:tab w:val="left" w:leader="none" w:pos="2546"/>
              </w:tabs>
              <w:ind w:left="113" w:right="60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Secuencia de sesiones</w:t>
            </w: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1"/>
              </w:numPr>
              <w:ind w:left="176" w:hanging="142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A. M.: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Puesta en común sobre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la importancia del lenguaje no verbal.</w:t>
            </w:r>
          </w:p>
          <w:p>
            <w:pPr>
              <w:pStyle w:val="style179"/>
              <w:numPr>
                <w:ilvl w:val="0"/>
                <w:numId w:val="1"/>
              </w:numPr>
              <w:ind w:left="176" w:hanging="142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A.D.: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Visualización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del ví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deo: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Resumir historia oralmente. </w:t>
            </w:r>
          </w:p>
          <w:p>
            <w:pPr>
              <w:pStyle w:val="style179"/>
              <w:numPr>
                <w:ilvl w:val="0"/>
                <w:numId w:val="1"/>
              </w:numPr>
              <w:ind w:left="176" w:hanging="142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Trabajamos con imágenes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¿Dónde hay comunicación? ¿Qué se pretende transmitir en cada ocasión?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1"/>
              </w:numPr>
              <w:ind w:left="176" w:hanging="142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Vemos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fragmento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>ídeo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 continuación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por grupos de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heterogéneos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crear los diálogos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>
        <w:tblPrEx/>
        <w:trPr>
          <w:trHeight w:val="270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2" w:type="dxa"/>
            <w:gridSpan w:val="11"/>
            <w:tcBorders/>
          </w:tcPr>
          <w:p>
            <w:pPr>
              <w:numPr>
                <w:ilvl w:val="0"/>
                <w:numId w:val="0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Visualización de vídeos de entrevistas</w:t>
            </w:r>
            <w:r>
              <w:rPr>
                <w:rFonts w:ascii="Times New Roman" w:cs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>
        <w:tblPrEx/>
        <w:trPr>
          <w:trHeight w:val="1416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18"/>
              </w:numPr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Explicación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 la entrevista personal y puesta en común sobre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¿Qué es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una entrevista personal? ¿Cuál sería su ámbito de uso? </w:t>
            </w:r>
          </w:p>
          <w:p>
            <w:pPr>
              <w:pStyle w:val="style179"/>
              <w:numPr>
                <w:ilvl w:val="0"/>
                <w:numId w:val="15"/>
              </w:numPr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Juego de rol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Por parejas, escribir y reproducir una entrevista de trabajo, acorde con la situación y el puesto de trabajo propuesto por la profesora. Posterior votación sobre quién obtendría ese puesto de trabajo. 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11"/>
              </w:numPr>
              <w:tabs>
                <w:tab w:val="left" w:leader="none" w:pos="2546"/>
              </w:tabs>
              <w:ind w:left="176" w:hanging="142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Explicación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 niveles de la lengua y de registros de la lengua, variedad social y estilística.</w:t>
            </w:r>
          </w:p>
          <w:p>
            <w:pPr>
              <w:pStyle w:val="style179"/>
              <w:numPr>
                <w:ilvl w:val="0"/>
                <w:numId w:val="20"/>
              </w:numPr>
              <w:tabs>
                <w:tab w:val="left" w:leader="none" w:pos="851"/>
              </w:tabs>
              <w:ind w:left="176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Visualización de vídeo (3´):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Lenguaje culto vs. Lenguaje coloquial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numPr>
                <w:ilvl w:val="0"/>
                <w:numId w:val="0"/>
              </w:numPr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Los alumnos deberán plantear situaciones donde se produce un mal uso del registro y ofrecer soluciones. </w:t>
            </w:r>
          </w:p>
        </w:tc>
      </w:tr>
      <w:tr>
        <w:tblPrEx/>
        <w:trPr>
          <w:trHeight w:val="283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21"/>
              </w:numPr>
              <w:ind w:left="176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Explicación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la pluralidad lingüística de España con apoyo digital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s-ES"/>
              </w:rPr>
              <w:t>.</w:t>
            </w:r>
          </w:p>
          <w:p>
            <w:pPr>
              <w:pStyle w:val="style179"/>
              <w:numPr>
                <w:ilvl w:val="0"/>
                <w:numId w:val="11"/>
              </w:numPr>
              <w:tabs>
                <w:tab w:val="left" w:leader="none" w:pos="2546"/>
              </w:tabs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Leer transcripción de las canciones y distinguir los rasgos de cada lengua si es posible y préstamos del castellano y al castellano.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21"/>
              </w:numPr>
              <w:spacing w:after="200"/>
              <w:ind w:left="176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Explicación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sobre léxico español, mecanismos de formación de palabras.</w:t>
            </w:r>
          </w:p>
          <w:p>
            <w:pPr>
              <w:pStyle w:val="style179"/>
              <w:numPr>
                <w:ilvl w:val="0"/>
                <w:numId w:val="21"/>
              </w:numPr>
              <w:spacing w:after="200"/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Creación de palabras derivadas a partir de las que se propongan.</w:t>
            </w:r>
          </w:p>
          <w:p>
            <w:pPr>
              <w:pStyle w:val="style179"/>
              <w:numPr>
                <w:ilvl w:val="0"/>
                <w:numId w:val="11"/>
              </w:numPr>
              <w:tabs>
                <w:tab w:val="left" w:leader="none" w:pos="2546"/>
              </w:tabs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Creación de un Wordart con familias léxicas, con al menos siete palabras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que utilizaremos para decorar la clase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11"/>
              </w:numPr>
              <w:tabs>
                <w:tab w:val="left" w:leader="none" w:pos="2546"/>
              </w:tabs>
              <w:ind w:left="176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A.D.: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Ortografía: Lectura texto plagado de faltas de ortografía, posterior debate titulado “¿Debemos jubilar la ortografía?”. Escribir argumentos po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 grupos y exponerlos oralmente. Presentación de la Rae y del resto de Academias de la Lengua.</w:t>
            </w:r>
          </w:p>
        </w:tc>
      </w:tr>
      <w:tr>
        <w:tblPrEx/>
        <w:trPr>
          <w:trHeight w:val="772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179"/>
              <w:numPr>
                <w:ilvl w:val="0"/>
                <w:numId w:val="12"/>
              </w:numPr>
              <w:tabs>
                <w:tab w:val="left" w:leader="none" w:pos="2546"/>
              </w:tabs>
              <w:ind w:left="175" w:hanging="175"/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A. Refuerzo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Facilitaremos un glosario con términos trabajados en la unidad.</w:t>
            </w:r>
          </w:p>
          <w:p>
            <w:pPr>
              <w:pStyle w:val="style179"/>
              <w:numPr>
                <w:ilvl w:val="0"/>
                <w:numId w:val="12"/>
              </w:numPr>
              <w:tabs>
                <w:tab w:val="left" w:leader="none" w:pos="2546"/>
              </w:tabs>
              <w:ind w:left="175" w:hanging="175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A. Ampl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iación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Realización de mapas lingüísticos, mostrando evolución del castellano</w:t>
            </w:r>
            <w:r>
              <w:rPr>
                <w:rFonts w:ascii="Times New Roman" w:cs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/>
            <w:shd w:val="clear" w:color="auto" w:fill="ff5050"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2" w:type="dxa"/>
            <w:gridSpan w:val="11"/>
            <w:tcBorders/>
          </w:tcPr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Evaluación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En las primeras sesiones se plantea el trabajo que deberán presentar en la última sesión. </w:t>
            </w:r>
          </w:p>
          <w:p>
            <w:pPr>
              <w:pStyle w:val="style0"/>
              <w:tabs>
                <w:tab w:val="left" w:leader="none" w:pos="254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Creación de un vídeo donde se recreen y pongan en escena diferentes situaciones donde se usen diferentes registros de la lengua, desde la aplicación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Kinemaster.</w:t>
            </w:r>
          </w:p>
        </w:tc>
      </w:tr>
      <w:tr>
        <w:tblPrEx/>
        <w:trPr>
          <w:trHeight w:val="51" w:hRule="atLeast"/>
        </w:trPr>
        <w:tc>
          <w:tcPr>
            <w:tcW w:w="565" w:type="dxa"/>
            <w:vMerge w:val="continue"/>
            <w:tcBorders/>
            <w:shd w:val="clear" w:color="auto" w:fill="8db3e2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/>
            <w:shd w:val="clear" w:color="auto" w:fill="ff5050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12066" w:type="dxa"/>
            <w:gridSpan w:val="8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Selección de textos, material de escritura, PDI  y acceso a internet. </w:t>
            </w:r>
          </w:p>
        </w:tc>
      </w:tr>
      <w:tr>
        <w:tblPrEx/>
        <w:trPr/>
        <w:tc>
          <w:tcPr>
            <w:tcW w:w="2692" w:type="dxa"/>
            <w:gridSpan w:val="6"/>
            <w:tcBorders/>
            <w:shd w:val="clear" w:color="auto" w:fill="8db3e2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Atención a la diversidad</w:t>
            </w:r>
          </w:p>
        </w:tc>
        <w:tc>
          <w:tcPr>
            <w:tcW w:w="12066" w:type="dxa"/>
            <w:gridSpan w:val="8"/>
            <w:tcBorders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Mediante las actividades de refuerzo y ampliación, que se tendrán presente a lo largo de la unidad.</w:t>
            </w:r>
          </w:p>
        </w:tc>
      </w:tr>
      <w:tr>
        <w:tblPrEx/>
        <w:trPr/>
        <w:tc>
          <w:tcPr>
            <w:tcW w:w="2692" w:type="dxa"/>
            <w:gridSpan w:val="6"/>
            <w:tcBorders/>
            <w:shd w:val="clear" w:color="auto" w:fill="8db3e2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Interdisciplinar</w:t>
            </w:r>
          </w:p>
        </w:tc>
        <w:tc>
          <w:tcPr>
            <w:tcW w:w="12066" w:type="dxa"/>
            <w:gridSpan w:val="8"/>
            <w:tcBorders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 el departamento de Informática con la creación vídeos y publicación en el blog de aula.</w:t>
            </w:r>
          </w:p>
        </w:tc>
      </w:tr>
      <w:tr>
        <w:tblPrEx/>
        <w:trPr>
          <w:trHeight w:val="613" w:hRule="atLeast"/>
        </w:trPr>
        <w:tc>
          <w:tcPr>
            <w:tcW w:w="2692" w:type="dxa"/>
            <w:gridSpan w:val="6"/>
            <w:vMerge w:val="restart"/>
            <w:tcBorders/>
            <w:shd w:val="clear" w:color="auto" w:fill="8db3e2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1703" w:type="dxa"/>
            <w:tcBorders/>
            <w:shd w:val="clear" w:color="auto" w:fill="ff5050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10363" w:type="dxa"/>
            <w:gridSpan w:val="7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Mediante rúbricas basadas en los contenidos de la unidad, los criterios y estándares de la misma.</w:t>
            </w:r>
          </w:p>
        </w:tc>
      </w:tr>
      <w:tr>
        <w:tblPrEx/>
        <w:trPr>
          <w:trHeight w:val="524" w:hRule="atLeast"/>
        </w:trPr>
        <w:tc>
          <w:tcPr>
            <w:tcW w:w="2692" w:type="dxa"/>
            <w:gridSpan w:val="6"/>
            <w:vMerge w:val="continue"/>
            <w:tcBorders/>
            <w:shd w:val="clear" w:color="auto" w:fill="8db3e2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/>
            <w:shd w:val="clear" w:color="auto" w:fill="ff5050"/>
          </w:tcPr>
          <w:p>
            <w:pPr>
              <w:pStyle w:val="style0"/>
              <w:ind w:right="-1951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Instrumentos</w:t>
            </w:r>
          </w:p>
        </w:tc>
        <w:tc>
          <w:tcPr>
            <w:tcW w:w="10363" w:type="dxa"/>
            <w:gridSpan w:val="7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Observación directa y continuada (40%). Cuaderno y participación en el blog (20%).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Creación y publicación del vídeo (40%).</w:t>
            </w:r>
          </w:p>
        </w:tc>
      </w:tr>
    </w:tbl>
    <w:p>
      <w:pPr>
        <w:pStyle w:val="style0"/>
        <w:rPr>
          <w:rFonts w:cs="Times New Roman"/>
        </w:rPr>
      </w:pPr>
    </w:p>
    <w:sectPr>
      <w:pgSz w:w="16838" w:h="11906" w:orient="landscape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4C0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6FA0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2"/>
    <w:multiLevelType w:val="hybridMultilevel"/>
    <w:tmpl w:val="59FCA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C400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1D00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A1CA8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7E0F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3E82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EBA8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0C6D2E8"/>
    <w:lvl w:ilvl="0" w:tplc="382C7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9A68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0F8F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B2029F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73A8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78E2D07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85EA08E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BAA2869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BDAF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495EF59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BEAC71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A0881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FEC93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55A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1829B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E5AB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EA1A9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21"/>
  </w:num>
  <w:num w:numId="17">
    <w:abstractNumId w:val="16"/>
  </w:num>
  <w:num w:numId="18">
    <w:abstractNumId w:val="4"/>
  </w:num>
  <w:num w:numId="19">
    <w:abstractNumId w:val="9"/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4"/>
  </w:num>
  <w:num w:numId="24">
    <w:abstractNumId w:val="15"/>
  </w:num>
  <w:num w:numId="25">
    <w:abstractNumId w:val="14"/>
  </w:num>
  <w:num w:numId="26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s-ES" w:bidi="ar-SA" w:eastAsia="es-E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Título 3 Car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Encabezado Car"/>
    <w:basedOn w:val="style65"/>
    <w:next w:val="style4098"/>
    <w:link w:val="style31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100">
    <w:name w:val="Pie de página Car"/>
    <w:basedOn w:val="style65"/>
    <w:next w:val="style4100"/>
    <w:link w:val="style32"/>
    <w:uiPriority w:val="99"/>
  </w:style>
  <w:style w:type="paragraph" w:customStyle="1" w:styleId="style4101">
    <w:name w:val="estilo59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102">
    <w:name w:val="estilo1751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3">
    <w:name w:val="estilo175"/>
    <w:basedOn w:val="style0"/>
    <w:next w:val="style4103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Words>1082</Words>
  <Pages>4</Pages>
  <Characters>6105</Characters>
  <Application>WPS Office</Application>
  <DocSecurity>0</DocSecurity>
  <Paragraphs>178</Paragraphs>
  <ScaleCrop>false</ScaleCrop>
  <Company>Hewlett-Packard</Company>
  <LinksUpToDate>false</LinksUpToDate>
  <CharactersWithSpaces>7093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2018-01-14T09:04:00Z</dcterms:created>
  <dc:creator>Usuario</dc:creator>
  <lastModifiedBy>SM-T590</lastModifiedBy>
  <lastPrinted>2018-04-02T16:40:00Z</lastPrinted>
  <dcterms:modified xsi:type="dcterms:W3CDTF">2019-05-16T15:45:26Z</dcterms:modified>
  <revision>67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