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b/>
          <w:b/>
          <w:color w:val="333333"/>
          <w:sz w:val="32"/>
          <w:szCs w:val="32"/>
          <w:u w:val="single"/>
          <w:lang w:eastAsia="es-ES"/>
        </w:rPr>
      </w:pPr>
      <w:bookmarkStart w:id="0" w:name="_GoBack"/>
      <w:bookmarkEnd w:id="0"/>
      <w:r>
        <w:rPr>
          <w:rFonts w:eastAsia="Times New Roman" w:cs="Arial" w:ascii="Arial" w:hAnsi="Arial"/>
          <w:b/>
          <w:color w:val="333333"/>
          <w:sz w:val="32"/>
          <w:szCs w:val="32"/>
          <w:u w:val="single"/>
          <w:lang w:eastAsia="es-ES"/>
        </w:rPr>
        <w:t xml:space="preserve">MEDIDAS DE ATENCIÓN A LA DIVERSIDAD (Departamento de Orientación)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360"/>
        <w:contextualSpacing/>
        <w:textAlignment w:val="baseline"/>
        <w:rPr>
          <w:rFonts w:ascii="Arial" w:hAnsi="Arial" w:eastAsia="Times New Roman" w:cs="Arial"/>
          <w:b/>
          <w:b/>
          <w:color w:val="333333"/>
          <w:sz w:val="32"/>
          <w:szCs w:val="32"/>
          <w:u w:val="single"/>
          <w:lang w:eastAsia="es-ES"/>
        </w:rPr>
      </w:pPr>
      <w:r>
        <w:rPr>
          <w:rFonts w:eastAsia="Times New Roman" w:cs="Arial" w:ascii="Arial" w:hAnsi="Arial"/>
          <w:b/>
          <w:color w:val="333333"/>
          <w:sz w:val="32"/>
          <w:szCs w:val="32"/>
          <w:u w:val="single"/>
          <w:lang w:eastAsia="es-ES"/>
        </w:rPr>
        <w:t>PMAR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333333"/>
          <w:sz w:val="23"/>
          <w:szCs w:val="23"/>
          <w:lang w:eastAsia="es-ES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es-ES"/>
        </w:rPr>
        <w:t xml:space="preserve">Impuesto por la LOMCE sustituye a los programas de Diversificación Curricular.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textAlignment w:val="baseline"/>
        <w:rPr/>
      </w:pPr>
      <w:r>
        <w:rPr>
          <w:rFonts w:eastAsia="Times New Roman" w:cs="Arial" w:ascii="inherit" w:hAnsi="inherit"/>
          <w:color w:val="666666"/>
          <w:sz w:val="24"/>
          <w:szCs w:val="24"/>
          <w:lang w:eastAsia="es-ES"/>
        </w:rPr>
        <w:t xml:space="preserve">Se organizan en 2 cursos académicos, se implementará en </w:t>
      </w:r>
      <w:r>
        <w:rPr>
          <w:rFonts w:eastAsia="Times New Roman" w:cs="Arial" w:ascii="inherit" w:hAnsi="inherit"/>
          <w:b/>
          <w:bCs/>
          <w:color w:val="666666"/>
          <w:sz w:val="24"/>
          <w:szCs w:val="24"/>
          <w:lang w:eastAsia="es-ES"/>
        </w:rPr>
        <w:t xml:space="preserve">2º y 3º </w:t>
      </w:r>
      <w:r>
        <w:rPr>
          <w:rFonts w:eastAsia="Times New Roman" w:cs="Arial" w:ascii="inherit" w:hAnsi="inherit"/>
          <w:color w:val="666666"/>
          <w:sz w:val="24"/>
          <w:szCs w:val="24"/>
          <w:lang w:eastAsia="es-ES"/>
        </w:rPr>
        <w:t>de ESO.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textAlignment w:val="baseline"/>
        <w:rPr/>
      </w:pPr>
      <w:r>
        <w:rPr>
          <w:rFonts w:eastAsia="Times New Roman" w:cs="Arial" w:ascii="inherit" w:hAnsi="inherit"/>
          <w:color w:val="666666"/>
          <w:sz w:val="24"/>
          <w:szCs w:val="24"/>
          <w:lang w:eastAsia="es-ES"/>
        </w:rPr>
        <w:t xml:space="preserve">Destinado preferentemente </w:t>
      </w:r>
      <w:r>
        <w:rPr>
          <w:rFonts w:eastAsia="Times New Roman" w:cs="Arial" w:ascii="inherit" w:hAnsi="inherit"/>
          <w:color w:val="666666"/>
          <w:sz w:val="24"/>
          <w:szCs w:val="24"/>
          <w:lang w:eastAsia="es-ES"/>
        </w:rPr>
        <w:t>alumnado</w:t>
      </w:r>
      <w:r>
        <w:rPr>
          <w:rFonts w:eastAsia="Times New Roman" w:cs="Arial" w:ascii="inherit" w:hAnsi="inherit"/>
          <w:color w:val="666666"/>
          <w:sz w:val="24"/>
          <w:szCs w:val="24"/>
          <w:lang w:eastAsia="es-ES"/>
        </w:rPr>
        <w:t xml:space="preserve"> con </w:t>
      </w:r>
      <w:r>
        <w:rPr>
          <w:rFonts w:eastAsia="Times New Roman" w:cs="Arial" w:ascii="inherit" w:hAnsi="inherit"/>
          <w:b/>
          <w:bCs/>
          <w:color w:val="666666"/>
          <w:sz w:val="24"/>
          <w:szCs w:val="24"/>
          <w:lang w:eastAsia="es-ES"/>
        </w:rPr>
        <w:t xml:space="preserve">dificultades </w:t>
      </w:r>
      <w:r>
        <w:rPr>
          <w:rFonts w:eastAsia="Times New Roman" w:cs="Arial" w:ascii="inherit" w:hAnsi="inherit"/>
          <w:color w:val="666666"/>
          <w:sz w:val="24"/>
          <w:szCs w:val="24"/>
          <w:lang w:eastAsia="es-ES"/>
        </w:rPr>
        <w:t xml:space="preserve">relevantes de aprendizaje </w:t>
      </w:r>
      <w:r>
        <w:rPr>
          <w:rFonts w:eastAsia="Times New Roman" w:cs="Arial" w:ascii="inherit" w:hAnsi="inherit"/>
          <w:b/>
          <w:bCs/>
          <w:color w:val="666666"/>
          <w:sz w:val="24"/>
          <w:szCs w:val="24"/>
          <w:lang w:eastAsia="es-ES"/>
        </w:rPr>
        <w:t>no imputables a falta de estudio</w:t>
      </w:r>
      <w:r>
        <w:rPr>
          <w:rFonts w:eastAsia="Times New Roman" w:cs="Arial" w:ascii="inherit" w:hAnsi="inherit"/>
          <w:color w:val="666666"/>
          <w:sz w:val="24"/>
          <w:szCs w:val="24"/>
          <w:lang w:eastAsia="es-ES"/>
        </w:rPr>
        <w:t>. También para alumnos con discapacidad.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textAlignment w:val="baseline"/>
        <w:rPr/>
      </w:pPr>
      <w:r>
        <w:rPr>
          <w:rFonts w:eastAsia="Times New Roman" w:cs="Arial" w:ascii="inherit" w:hAnsi="inherit"/>
          <w:color w:val="666666"/>
          <w:sz w:val="24"/>
          <w:szCs w:val="24"/>
          <w:lang w:eastAsia="es-ES"/>
        </w:rPr>
        <w:t xml:space="preserve">Ratio: Alumnos por grupo no podrá ser inferior a </w:t>
      </w:r>
      <w:r>
        <w:rPr>
          <w:rFonts w:eastAsia="Times New Roman" w:cs="Arial" w:ascii="inherit" w:hAnsi="inherit"/>
          <w:b/>
          <w:bCs/>
          <w:color w:val="666666"/>
          <w:sz w:val="24"/>
          <w:szCs w:val="24"/>
          <w:lang w:eastAsia="es-ES"/>
        </w:rPr>
        <w:t xml:space="preserve">ocho </w:t>
      </w:r>
      <w:r>
        <w:rPr>
          <w:rFonts w:eastAsia="Times New Roman" w:cs="Arial" w:ascii="inherit" w:hAnsi="inherit"/>
          <w:color w:val="666666"/>
          <w:sz w:val="24"/>
          <w:szCs w:val="24"/>
          <w:lang w:eastAsia="es-ES"/>
        </w:rPr>
        <w:t>(</w:t>
      </w:r>
      <w:r>
        <w:rPr>
          <w:rFonts w:eastAsia="Times New Roman" w:cs="Arial" w:ascii="inherit" w:hAnsi="inherit"/>
          <w:i/>
          <w:iCs/>
          <w:color w:val="666666"/>
          <w:sz w:val="24"/>
          <w:szCs w:val="24"/>
          <w:lang w:eastAsia="es-ES"/>
        </w:rPr>
        <w:t>ámbito rural 6</w:t>
      </w:r>
      <w:r>
        <w:rPr>
          <w:rFonts w:eastAsia="Times New Roman" w:cs="Arial" w:ascii="inherit" w:hAnsi="inherit"/>
          <w:color w:val="666666"/>
          <w:sz w:val="24"/>
          <w:szCs w:val="24"/>
          <w:lang w:eastAsia="es-ES"/>
        </w:rPr>
        <w:t xml:space="preserve">) ni superior a </w:t>
      </w:r>
      <w:r>
        <w:rPr>
          <w:rFonts w:eastAsia="Times New Roman" w:cs="Arial" w:ascii="inherit" w:hAnsi="inherit"/>
          <w:b/>
          <w:bCs/>
          <w:color w:val="666666"/>
          <w:sz w:val="24"/>
          <w:szCs w:val="24"/>
          <w:lang w:eastAsia="es-ES"/>
        </w:rPr>
        <w:t>quince</w:t>
      </w:r>
      <w:r>
        <w:rPr>
          <w:rFonts w:eastAsia="Times New Roman" w:cs="Arial" w:ascii="inherit" w:hAnsi="inherit"/>
          <w:color w:val="666666"/>
          <w:sz w:val="24"/>
          <w:szCs w:val="24"/>
          <w:lang w:eastAsia="es-ES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50" w:hanging="360"/>
        <w:textAlignment w:val="baseline"/>
        <w:rPr>
          <w:rFonts w:ascii="inherit" w:hAnsi="inherit" w:eastAsia="Times New Roman" w:cs="Arial"/>
          <w:color w:val="666666"/>
          <w:sz w:val="24"/>
          <w:szCs w:val="24"/>
          <w:lang w:eastAsia="es-ES"/>
        </w:rPr>
      </w:pPr>
      <w:r>
        <w:rPr>
          <w:rFonts w:eastAsia="Times New Roman" w:cs="Arial" w:ascii="inherit" w:hAnsi="inherit"/>
          <w:color w:val="666666"/>
          <w:sz w:val="24"/>
          <w:szCs w:val="24"/>
          <w:lang w:eastAsia="es-ES"/>
        </w:rPr>
        <w:t>Finalidad de que el alumnado pueda cursar 4º ESO por la vía ordinaria y obtengan el título de Graduado en ESO.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333333"/>
          <w:sz w:val="23"/>
          <w:szCs w:val="23"/>
          <w:lang w:eastAsia="es-ES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es-ES"/>
        </w:rPr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333333"/>
          <w:sz w:val="23"/>
          <w:szCs w:val="23"/>
          <w:lang w:eastAsia="es-ES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es-ES"/>
        </w:rPr>
        <w:t>En el año académico 2015-2016 comienzan a ponerse en funcionamiento las enseñanzas correspondientes al segundo curso de los PMAR y dejará de impartirse el primer curso de los Programas de Diversificación Curricular.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sz w:val="24"/>
          <w:szCs w:val="24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es-ES"/>
        </w:rPr>
        <w:t>En el año académico 2016-2017 se implantarán las enseñanzas correspondientes al primer curso de los PMAR y dejará de impartirse el segundo curso de los Programas de Diversificación Curricular.</w:t>
      </w:r>
    </w:p>
    <w:tbl>
      <w:tblPr>
        <w:tblW w:w="9885" w:type="dxa"/>
        <w:jc w:val="left"/>
        <w:tblInd w:w="0" w:type="dxa"/>
        <w:tblBorders/>
        <w:tblCellMar>
          <w:top w:w="90" w:type="dxa"/>
          <w:left w:w="0" w:type="dxa"/>
          <w:bottom w:w="90" w:type="dxa"/>
          <w:right w:w="0" w:type="dxa"/>
        </w:tblCellMar>
        <w:tblLook w:firstRow="1" w:noVBand="1" w:lastRow="0" w:firstColumn="1" w:lastColumn="0" w:noHBand="0" w:val="04a0"/>
      </w:tblPr>
      <w:tblGrid>
        <w:gridCol w:w="2664"/>
        <w:gridCol w:w="3610"/>
        <w:gridCol w:w="3611"/>
      </w:tblGrid>
      <w:tr>
        <w:trPr/>
        <w:tc>
          <w:tcPr>
            <w:tcW w:w="2664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herit" w:hAnsi="inherit" w:eastAsia="Times New Roman" w:cs="Arial"/>
                <w:color w:val="333333"/>
                <w:sz w:val="23"/>
                <w:szCs w:val="23"/>
                <w:lang w:eastAsia="es-ES"/>
              </w:rPr>
            </w:pPr>
            <w:r>
              <w:rPr>
                <w:rFonts w:eastAsia="Times New Roman" w:cs="Arial" w:ascii="inherit" w:hAnsi="inherit"/>
                <w:color w:val="333333"/>
                <w:sz w:val="23"/>
                <w:szCs w:val="23"/>
                <w:lang w:eastAsia="es-ES"/>
              </w:rPr>
            </w:r>
          </w:p>
        </w:tc>
        <w:tc>
          <w:tcPr>
            <w:tcW w:w="3610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herit" w:hAnsi="inherit" w:eastAsia="Times New Roman" w:cs="Arial"/>
                <w:color w:val="333333"/>
                <w:sz w:val="23"/>
                <w:szCs w:val="23"/>
                <w:lang w:eastAsia="es-ES"/>
              </w:rPr>
            </w:pPr>
            <w:r>
              <w:rPr>
                <w:rFonts w:eastAsia="Times New Roman" w:cs="Arial" w:ascii="inherit" w:hAnsi="inherit"/>
                <w:b/>
                <w:bCs/>
                <w:color w:val="333333"/>
                <w:sz w:val="23"/>
                <w:szCs w:val="23"/>
                <w:lang w:eastAsia="es-ES"/>
              </w:rPr>
              <w:t>2015-2016</w:t>
            </w:r>
          </w:p>
        </w:tc>
        <w:tc>
          <w:tcPr>
            <w:tcW w:w="3611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herit" w:hAnsi="inherit" w:eastAsia="Times New Roman" w:cs="Arial"/>
                <w:color w:val="333333"/>
                <w:sz w:val="23"/>
                <w:szCs w:val="23"/>
                <w:lang w:eastAsia="es-ES"/>
              </w:rPr>
            </w:pPr>
            <w:r>
              <w:rPr>
                <w:rFonts w:eastAsia="Times New Roman" w:cs="Arial" w:ascii="inherit" w:hAnsi="inherit"/>
                <w:b/>
                <w:bCs/>
                <w:color w:val="333333"/>
                <w:sz w:val="23"/>
                <w:szCs w:val="23"/>
                <w:lang w:eastAsia="es-ES"/>
              </w:rPr>
              <w:t>2016-2017</w:t>
            </w:r>
          </w:p>
        </w:tc>
      </w:tr>
      <w:tr>
        <w:trPr/>
        <w:tc>
          <w:tcPr>
            <w:tcW w:w="2664" w:type="dxa"/>
            <w:tcBorders/>
            <w:shd w:color="auto" w:fill="F8F8F8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herit" w:hAnsi="inherit" w:eastAsia="Times New Roman" w:cs="Arial"/>
                <w:color w:val="333333"/>
                <w:sz w:val="23"/>
                <w:szCs w:val="23"/>
                <w:lang w:eastAsia="es-ES"/>
              </w:rPr>
            </w:pPr>
            <w:r>
              <w:rPr>
                <w:rFonts w:eastAsia="Times New Roman" w:cs="Arial" w:ascii="inherit" w:hAnsi="inherit"/>
                <w:color w:val="333333"/>
                <w:sz w:val="23"/>
                <w:szCs w:val="23"/>
                <w:lang w:eastAsia="es-ES"/>
              </w:rPr>
              <w:t>2.º ESO</w:t>
            </w:r>
          </w:p>
        </w:tc>
        <w:tc>
          <w:tcPr>
            <w:tcW w:w="3610" w:type="dxa"/>
            <w:tcBorders/>
            <w:shd w:color="auto" w:fill="F8F8F8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herit" w:hAnsi="inherit" w:eastAsia="Times New Roman" w:cs="Arial"/>
                <w:color w:val="333333"/>
                <w:sz w:val="23"/>
                <w:szCs w:val="23"/>
                <w:lang w:eastAsia="es-ES"/>
              </w:rPr>
            </w:pPr>
            <w:r>
              <w:rPr>
                <w:rFonts w:eastAsia="Times New Roman" w:cs="Arial" w:ascii="inherit" w:hAnsi="inherit"/>
                <w:color w:val="333333"/>
                <w:sz w:val="23"/>
                <w:szCs w:val="23"/>
                <w:lang w:eastAsia="es-ES"/>
              </w:rPr>
              <w:t>–</w:t>
            </w:r>
          </w:p>
        </w:tc>
        <w:tc>
          <w:tcPr>
            <w:tcW w:w="3611" w:type="dxa"/>
            <w:tcBorders/>
            <w:shd w:color="auto" w:fill="F8F8F8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herit" w:hAnsi="inherit" w:eastAsia="Times New Roman" w:cs="Arial"/>
                <w:color w:val="333333"/>
                <w:sz w:val="23"/>
                <w:szCs w:val="23"/>
                <w:lang w:eastAsia="es-ES"/>
              </w:rPr>
            </w:pPr>
            <w:r>
              <w:rPr>
                <w:rFonts w:eastAsia="Times New Roman" w:cs="Arial" w:ascii="inherit" w:hAnsi="inherit"/>
                <w:color w:val="333333"/>
                <w:sz w:val="23"/>
                <w:szCs w:val="23"/>
                <w:lang w:eastAsia="es-ES"/>
              </w:rPr>
              <w:t>1.º PMAR</w:t>
            </w:r>
          </w:p>
        </w:tc>
      </w:tr>
      <w:tr>
        <w:trPr/>
        <w:tc>
          <w:tcPr>
            <w:tcW w:w="2664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herit" w:hAnsi="inherit" w:eastAsia="Times New Roman" w:cs="Arial"/>
                <w:color w:val="333333"/>
                <w:sz w:val="23"/>
                <w:szCs w:val="23"/>
                <w:lang w:eastAsia="es-ES"/>
              </w:rPr>
            </w:pPr>
            <w:r>
              <w:rPr>
                <w:rFonts w:eastAsia="Times New Roman" w:cs="Arial" w:ascii="inherit" w:hAnsi="inherit"/>
                <w:color w:val="333333"/>
                <w:sz w:val="23"/>
                <w:szCs w:val="23"/>
                <w:lang w:eastAsia="es-ES"/>
              </w:rPr>
              <w:t>3.º ESO</w:t>
            </w:r>
          </w:p>
        </w:tc>
        <w:tc>
          <w:tcPr>
            <w:tcW w:w="3610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herit" w:hAnsi="inherit" w:eastAsia="Times New Roman" w:cs="Arial"/>
                <w:color w:val="333333"/>
                <w:sz w:val="23"/>
                <w:szCs w:val="23"/>
                <w:lang w:eastAsia="es-ES"/>
              </w:rPr>
            </w:pPr>
            <w:r>
              <w:rPr>
                <w:rFonts w:eastAsia="Times New Roman" w:cs="Arial" w:ascii="inherit" w:hAnsi="inherit"/>
                <w:color w:val="333333"/>
                <w:sz w:val="23"/>
                <w:szCs w:val="23"/>
                <w:lang w:eastAsia="es-ES"/>
              </w:rPr>
              <w:t>2.º PMAR</w:t>
            </w:r>
          </w:p>
        </w:tc>
        <w:tc>
          <w:tcPr>
            <w:tcW w:w="3611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herit" w:hAnsi="inherit" w:eastAsia="Times New Roman" w:cs="Arial"/>
                <w:color w:val="333333"/>
                <w:sz w:val="23"/>
                <w:szCs w:val="23"/>
                <w:lang w:eastAsia="es-ES"/>
              </w:rPr>
            </w:pPr>
            <w:r>
              <w:rPr>
                <w:rFonts w:eastAsia="Times New Roman" w:cs="Arial" w:ascii="inherit" w:hAnsi="inherit"/>
                <w:color w:val="333333"/>
                <w:sz w:val="23"/>
                <w:szCs w:val="23"/>
                <w:lang w:eastAsia="es-ES"/>
              </w:rPr>
              <w:t>2.º PMAR</w:t>
            </w:r>
          </w:p>
        </w:tc>
      </w:tr>
      <w:tr>
        <w:trPr/>
        <w:tc>
          <w:tcPr>
            <w:tcW w:w="2664" w:type="dxa"/>
            <w:tcBorders/>
            <w:shd w:color="auto" w:fill="F8F8F8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herit" w:hAnsi="inherit" w:eastAsia="Times New Roman" w:cs="Arial"/>
                <w:color w:val="333333"/>
                <w:sz w:val="23"/>
                <w:szCs w:val="23"/>
                <w:lang w:eastAsia="es-ES"/>
              </w:rPr>
            </w:pPr>
            <w:r>
              <w:rPr>
                <w:rFonts w:eastAsia="Times New Roman" w:cs="Arial" w:ascii="inherit" w:hAnsi="inherit"/>
                <w:color w:val="333333"/>
                <w:sz w:val="23"/>
                <w:szCs w:val="23"/>
                <w:lang w:eastAsia="es-ES"/>
              </w:rPr>
              <w:t>4.º ESO</w:t>
            </w:r>
          </w:p>
        </w:tc>
        <w:tc>
          <w:tcPr>
            <w:tcW w:w="3610" w:type="dxa"/>
            <w:tcBorders/>
            <w:shd w:color="auto" w:fill="F8F8F8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herit" w:hAnsi="inherit" w:eastAsia="Times New Roman" w:cs="Arial"/>
                <w:color w:val="333333"/>
                <w:sz w:val="23"/>
                <w:szCs w:val="23"/>
                <w:lang w:eastAsia="es-ES"/>
              </w:rPr>
            </w:pPr>
            <w:r>
              <w:rPr>
                <w:rFonts w:eastAsia="Times New Roman" w:cs="Arial" w:ascii="inherit" w:hAnsi="inherit"/>
                <w:color w:val="333333"/>
                <w:sz w:val="23"/>
                <w:szCs w:val="23"/>
                <w:lang w:eastAsia="es-ES"/>
              </w:rPr>
              <w:t>4.º DC</w:t>
            </w:r>
          </w:p>
        </w:tc>
        <w:tc>
          <w:tcPr>
            <w:tcW w:w="3611" w:type="dxa"/>
            <w:tcBorders/>
            <w:shd w:color="auto" w:fill="F8F8F8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AGRUPAMIENTOS FLEXIBLES</w:t>
      </w:r>
    </w:p>
    <w:p>
      <w:pPr>
        <w:pStyle w:val="ListParagraph"/>
        <w:rPr>
          <w:rFonts w:ascii="Arial" w:hAnsi="Arial" w:eastAsia="Times New Roman" w:cs="Arial"/>
          <w:color w:val="333333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es-ES"/>
        </w:rPr>
      </w:r>
    </w:p>
    <w:p>
      <w:pPr>
        <w:pStyle w:val="ListParagraph"/>
        <w:widowControl/>
        <w:bidi w:val="0"/>
        <w:spacing w:before="0" w:after="200"/>
        <w:ind w:left="0" w:right="0" w:hanging="0"/>
        <w:contextualSpacing/>
        <w:jc w:val="left"/>
        <w:rPr/>
      </w:pPr>
      <w:r>
        <w:rPr>
          <w:rFonts w:eastAsia="Times New Roman" w:cs="Arial" w:ascii="Arial" w:hAnsi="Arial"/>
          <w:color w:val="333333"/>
          <w:sz w:val="24"/>
          <w:szCs w:val="24"/>
          <w:lang w:eastAsia="es-ES"/>
        </w:rPr>
        <w:t>Un sistema de agrupamientos flexibles supone una medida de atención a la diversidad que consiste en un tipo de agrupación del alumnado entre los diferentes grupos de un mismo nivel o curso, rompiendo el grupo de referencia y estableciendo diferentes grupos en función de los distintos niveles de competencia curricular. Dichos agrupamientos se realizan por áreas o materias, generalmente las de carácter instrumental(Lenguaje y matemáticas) .En nuestro centro se está llevando a cabo agrupamientos flexibles en el curso de 1ºD Y 2ºD.</w:t>
      </w:r>
    </w:p>
    <w:p>
      <w:pPr>
        <w:pStyle w:val="ListParagraph"/>
        <w:widowControl/>
        <w:bidi w:val="0"/>
        <w:spacing w:before="0" w:after="200"/>
        <w:ind w:left="0" w:right="0" w:hanging="0"/>
        <w:contextualSpacing/>
        <w:jc w:val="left"/>
        <w:rPr>
          <w:rFonts w:ascii="Arial" w:hAnsi="Arial" w:eastAsia="Times New Roman" w:cs="Arial"/>
          <w:color w:val="333333"/>
          <w:sz w:val="24"/>
          <w:szCs w:val="24"/>
          <w:lang w:eastAsia="es-ES"/>
        </w:rPr>
      </w:pPr>
      <w:r>
        <w:rPr/>
      </w:r>
    </w:p>
    <w:p>
      <w:pPr>
        <w:pStyle w:val="ListParagraph"/>
        <w:rPr>
          <w:rFonts w:ascii="Arial" w:hAnsi="Arial" w:eastAsia="Times New Roman" w:cs="Arial"/>
          <w:color w:val="333333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es-ES"/>
        </w:rPr>
      </w:r>
    </w:p>
    <w:p>
      <w:pPr>
        <w:pStyle w:val="ListParagraph"/>
        <w:rPr>
          <w:rFonts w:ascii="Arial" w:hAnsi="Arial" w:eastAsia="Times New Roman" w:cs="Arial"/>
          <w:color w:val="333333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es-ES"/>
        </w:rPr>
      </w:r>
    </w:p>
    <w:p>
      <w:pPr>
        <w:pStyle w:val="ListParagraph"/>
        <w:numPr>
          <w:ilvl w:val="0"/>
          <w:numId w:val="2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APOYO A LA INTEGRACIÓN</w:t>
      </w:r>
    </w:p>
    <w:p>
      <w:pPr>
        <w:pStyle w:val="Rtejustify"/>
        <w:spacing w:beforeAutospacing="0" w:before="180" w:afterAutospacing="0" w:after="180"/>
        <w:rPr/>
      </w:pPr>
      <w:r>
        <w:rPr>
          <w:rFonts w:cs="Calibri" w:ascii="Arial" w:hAnsi="Arial" w:cstheme="minorHAnsi"/>
          <w:sz w:val="24"/>
          <w:szCs w:val="24"/>
        </w:rPr>
        <w:t>Atiende al alumnado con necesidades específicas de apoyo educativo (NEAE) , tanto de necesidades educativas especiales(NEE) d</w:t>
      </w:r>
      <w:r>
        <w:rPr>
          <w:rFonts w:cs="Calibri" w:ascii="Arial" w:hAnsi="Arial" w:cstheme="minorHAnsi"/>
          <w:color w:val="2A3C46"/>
          <w:sz w:val="24"/>
          <w:szCs w:val="24"/>
        </w:rPr>
        <w:t xml:space="preserve">erivadas de discapacidad o trastornos graves de conducta, alumnado con altas capacidades intelectuales, alumnado de incorporación tardía al Sistema Educativo Español, alumnado con dificultades específicas de aprendizaje o  alumnado con condiciones personales o de historia escolar compleja. En nuestro centro se están atendiendo a 3 alumnos en el aula de apoyo a través de adaptaciones curriculares significativas en la asignatura de Lenguaje y Matemáticas, 6 horas a la semana. </w:t>
      </w:r>
      <w:r>
        <w:rPr>
          <w:rFonts w:cs="Calibri" w:ascii="Arial" w:hAnsi="Arial" w:cstheme="minorHAnsi"/>
          <w:color w:val="2A3C46"/>
          <w:sz w:val="24"/>
          <w:szCs w:val="24"/>
        </w:rPr>
        <w:t>También</w:t>
      </w:r>
      <w:r>
        <w:rPr>
          <w:rFonts w:cs="Calibri" w:ascii="Arial" w:hAnsi="Arial" w:cstheme="minorHAnsi"/>
          <w:color w:val="2A3C46"/>
          <w:sz w:val="24"/>
          <w:szCs w:val="24"/>
        </w:rPr>
        <w:t xml:space="preserve">  con este alumnado se trabajan programas específicos para ayudar a mejorar en las dificultades de aprendizaje que presenta.</w:t>
      </w:r>
    </w:p>
    <w:p>
      <w:pPr>
        <w:pStyle w:val="Rtejustify"/>
        <w:spacing w:beforeAutospacing="0" w:before="180" w:afterAutospacing="0" w:after="180"/>
        <w:rPr>
          <w:rFonts w:ascii="Arial" w:hAnsi="Arial"/>
          <w:sz w:val="24"/>
          <w:szCs w:val="24"/>
        </w:rPr>
      </w:pPr>
      <w:r>
        <w:rPr>
          <w:rFonts w:cs="Calibri" w:ascii="Arial" w:hAnsi="Arial" w:cstheme="minorHAnsi"/>
          <w:color w:val="2A3C46"/>
          <w:sz w:val="24"/>
          <w:szCs w:val="24"/>
        </w:rPr>
        <w:t>Por otro lado se está atendiendo a alumnos y alumnas con dificultades de aprendizajes (Dia) a  través de programas específicos que los programa y los implementa la maestra de pedagogía terapéutica para trabajar las dificultades de aprendizajes del alumnado en concreto. En el aula de apoyo se atiende a 18 alumnos con Dia. A la vez también el tutor programa y lleva a cabo adaptaciones curriculares no significativas con el alumnado que lo necesita y viene reflejado en su informe.</w:t>
      </w:r>
    </w:p>
    <w:p>
      <w:pPr>
        <w:pStyle w:val="ListParagraph"/>
        <w:rPr/>
      </w:pPr>
      <w:r>
        <w:rPr/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nheri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3276f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276fb"/>
    <w:rPr/>
  </w:style>
  <w:style w:type="character" w:styleId="Strong">
    <w:name w:val="Strong"/>
    <w:basedOn w:val="DefaultParagraphFont"/>
    <w:uiPriority w:val="22"/>
    <w:qFormat/>
    <w:rsid w:val="00461127"/>
    <w:rPr>
      <w:b/>
      <w:bCs/>
    </w:rPr>
  </w:style>
  <w:style w:type="character" w:styleId="ListLabel1">
    <w:name w:val="ListLabel 1"/>
    <w:qFormat/>
    <w:rPr>
      <w:rFonts w:ascii="inherit" w:hAnsi="inherit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inherit" w:hAnsi="inherit" w:cs="Wingdings"/>
      <w:sz w:val="24"/>
    </w:rPr>
  </w:style>
  <w:style w:type="character" w:styleId="ListLabel4">
    <w:name w:val="ListLabel 4"/>
    <w:qFormat/>
    <w:rPr>
      <w:rFonts w:cs="Courier New"/>
      <w:sz w:val="24"/>
    </w:rPr>
  </w:style>
  <w:style w:type="character" w:styleId="ListLabel5">
    <w:name w:val="ListLabel 5"/>
    <w:qFormat/>
    <w:rPr>
      <w:rFonts w:cs="Wingdings"/>
      <w:sz w:val="24"/>
    </w:rPr>
  </w:style>
  <w:style w:type="character" w:styleId="ListLabel6">
    <w:name w:val="ListLabel 6"/>
    <w:qFormat/>
    <w:rPr>
      <w:rFonts w:cs="Wingdings"/>
      <w:sz w:val="24"/>
    </w:rPr>
  </w:style>
  <w:style w:type="character" w:styleId="ListLabel7">
    <w:name w:val="ListLabel 7"/>
    <w:qFormat/>
    <w:rPr>
      <w:rFonts w:cs="Wingdings"/>
      <w:sz w:val="24"/>
    </w:rPr>
  </w:style>
  <w:style w:type="character" w:styleId="ListLabel8">
    <w:name w:val="ListLabel 8"/>
    <w:qFormat/>
    <w:rPr>
      <w:rFonts w:cs="Wingdings"/>
      <w:sz w:val="24"/>
    </w:rPr>
  </w:style>
  <w:style w:type="character" w:styleId="ListLabel9">
    <w:name w:val="ListLabel 9"/>
    <w:qFormat/>
    <w:rPr>
      <w:rFonts w:cs="Wingdings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  <w:sz w:val="24"/>
    </w:rPr>
  </w:style>
  <w:style w:type="character" w:styleId="ListLabel12">
    <w:name w:val="ListLabel 12"/>
    <w:qFormat/>
    <w:rPr>
      <w:rFonts w:ascii="Arial" w:hAnsi="Arial" w:cs="Symbol"/>
      <w:b/>
      <w:sz w:val="3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3276fb"/>
    <w:pPr>
      <w:spacing w:before="0" w:after="200"/>
      <w:ind w:left="720" w:hanging="0"/>
      <w:contextualSpacing/>
    </w:pPr>
    <w:rPr/>
  </w:style>
  <w:style w:type="paragraph" w:styleId="Encabezamiento">
    <w:name w:val="Header"/>
    <w:basedOn w:val="Normal"/>
    <w:link w:val="EncabezadoCar"/>
    <w:uiPriority w:val="99"/>
    <w:unhideWhenUsed/>
    <w:rsid w:val="003276f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276f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tejustify" w:customStyle="1">
    <w:name w:val="rtejustify"/>
    <w:basedOn w:val="Normal"/>
    <w:qFormat/>
    <w:rsid w:val="004611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LibreOffice/5.1.6.2$Windows_x86 LibreOffice_project/07ac168c60a517dba0f0d7bc7540f5afa45f0909</Application>
  <Pages>2</Pages>
  <Words>448</Words>
  <Characters>2427</Characters>
  <CharactersWithSpaces>2850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2017-05-21T19:23:00Z</dcterms:created>
  <dc:creator>Javier</dc:creator>
  <dc:description/>
  <dc:language>es-ES</dc:language>
  <cp:lastModifiedBy/>
  <dcterms:modified xsi:type="dcterms:W3CDTF">2017-05-24T10:09:47Z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