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D2" w:rsidRPr="002453A5" w:rsidRDefault="00CA69D2" w:rsidP="00CA69D2">
      <w:pPr>
        <w:pStyle w:val="Ttulo1"/>
        <w:rPr>
          <w:lang w:val="pt-PT"/>
        </w:rPr>
      </w:pPr>
      <w:r w:rsidRPr="002453A5">
        <w:rPr>
          <w:lang w:val="pt-PT"/>
        </w:rPr>
        <w:t xml:space="preserve">ACTA </w:t>
      </w:r>
      <w:r>
        <w:rPr>
          <w:lang w:val="pt-PT"/>
        </w:rPr>
        <w:t>ORDINARIA Nº1. CURSO 2019/2020</w:t>
      </w:r>
    </w:p>
    <w:p w:rsidR="00CA69D2" w:rsidRDefault="00CA69D2" w:rsidP="00CA69D2">
      <w:pPr>
        <w:pStyle w:val="Departamento"/>
      </w:pPr>
      <w:r>
        <w:t>Grupo de trabajo</w:t>
      </w:r>
    </w:p>
    <w:p w:rsidR="00CA69D2" w:rsidRDefault="00CA69D2" w:rsidP="00CA69D2">
      <w:pPr>
        <w:pStyle w:val="Departamento"/>
      </w:pPr>
      <w:r>
        <w:t xml:space="preserve">Desarrollo de instrumentos de evaluación para destrezas orales. </w:t>
      </w:r>
    </w:p>
    <w:p w:rsidR="00CA69D2" w:rsidRPr="009D5D48" w:rsidRDefault="00CA69D2" w:rsidP="00CA69D2">
      <w:pPr>
        <w:pStyle w:val="Departamento"/>
      </w:pPr>
      <w:r>
        <w:t>Trabajo interdisciplinar</w:t>
      </w:r>
    </w:p>
    <w:tbl>
      <w:tblPr>
        <w:tblW w:w="87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969"/>
        <w:gridCol w:w="437"/>
        <w:gridCol w:w="3969"/>
      </w:tblGrid>
      <w:tr w:rsidR="00CA69D2" w:rsidRPr="00252168" w:rsidTr="00CA10DA">
        <w:trPr>
          <w:trHeight w:val="20"/>
          <w:jc w:val="center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A69D2" w:rsidRPr="007344DF" w:rsidRDefault="00CA69D2" w:rsidP="00CA10DA">
            <w:pPr>
              <w:pStyle w:val="Encabezado1"/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A69D2" w:rsidRPr="007344DF" w:rsidRDefault="00CA69D2" w:rsidP="00CA10DA">
            <w:pPr>
              <w:pStyle w:val="Encabezado1"/>
              <w:spacing w:after="0"/>
              <w:contextualSpacing/>
              <w:rPr>
                <w:sz w:val="18"/>
                <w:szCs w:val="18"/>
              </w:rPr>
            </w:pPr>
            <w:r w:rsidRPr="007344DF">
              <w:rPr>
                <w:sz w:val="18"/>
                <w:szCs w:val="18"/>
              </w:rPr>
              <w:t>Asistentes a la reunión</w:t>
            </w:r>
          </w:p>
        </w:tc>
        <w:tc>
          <w:tcPr>
            <w:tcW w:w="43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A69D2" w:rsidRPr="007344DF" w:rsidRDefault="00CA69D2" w:rsidP="00CA10DA">
            <w:pPr>
              <w:pStyle w:val="Encabezado1"/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A69D2" w:rsidRPr="007344DF" w:rsidRDefault="00CA69D2" w:rsidP="00CA10DA">
            <w:pPr>
              <w:pStyle w:val="Encabezado1"/>
              <w:spacing w:after="0"/>
              <w:contextualSpacing/>
              <w:rPr>
                <w:sz w:val="18"/>
                <w:szCs w:val="18"/>
              </w:rPr>
            </w:pPr>
            <w:r w:rsidRPr="007344DF">
              <w:rPr>
                <w:sz w:val="18"/>
                <w:szCs w:val="18"/>
              </w:rPr>
              <w:t>Ausentes en la reunión</w:t>
            </w:r>
          </w:p>
        </w:tc>
      </w:tr>
      <w:tr w:rsidR="00CA69D2" w:rsidRPr="00252168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 w:rsidRPr="00252168">
              <w:rPr>
                <w:sz w:val="18"/>
                <w:szCs w:val="18"/>
              </w:rPr>
              <w:fldChar w:fldCharType="begin"/>
            </w:r>
            <w:r w:rsidRPr="00252168">
              <w:rPr>
                <w:sz w:val="18"/>
                <w:szCs w:val="18"/>
              </w:rPr>
              <w:instrText xml:space="preserve"> AUTONUM  \* Arabic </w:instrText>
            </w:r>
            <w:r w:rsidRPr="002521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Vanessa Hidalgo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</w:p>
        </w:tc>
      </w:tr>
      <w:tr w:rsidR="00CA69D2" w:rsidRPr="00252168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 w:rsidRPr="00252168">
              <w:rPr>
                <w:sz w:val="18"/>
                <w:szCs w:val="18"/>
              </w:rPr>
              <w:fldChar w:fldCharType="begin"/>
            </w:r>
            <w:r w:rsidRPr="00252168">
              <w:rPr>
                <w:sz w:val="18"/>
                <w:szCs w:val="18"/>
              </w:rPr>
              <w:instrText xml:space="preserve"> AUTONUM  \* Arabic </w:instrText>
            </w:r>
            <w:r w:rsidRPr="002521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Dolores Belmonte García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</w:p>
        </w:tc>
      </w:tr>
      <w:tr w:rsidR="00CA69D2" w:rsidRPr="00252168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 w:rsidRPr="00252168">
              <w:rPr>
                <w:sz w:val="18"/>
                <w:szCs w:val="18"/>
              </w:rPr>
              <w:fldChar w:fldCharType="begin"/>
            </w:r>
            <w:r w:rsidRPr="00252168">
              <w:rPr>
                <w:sz w:val="18"/>
                <w:szCs w:val="18"/>
              </w:rPr>
              <w:instrText xml:space="preserve"> AUTONUM  \* Arabic </w:instrText>
            </w:r>
            <w:r w:rsidRPr="002521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 Puertas Martínez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</w:p>
        </w:tc>
      </w:tr>
      <w:tr w:rsidR="00CA69D2" w:rsidRPr="00252168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 w:rsidRPr="00252168">
              <w:rPr>
                <w:sz w:val="18"/>
                <w:szCs w:val="18"/>
              </w:rPr>
              <w:fldChar w:fldCharType="begin"/>
            </w:r>
            <w:r w:rsidRPr="00252168">
              <w:rPr>
                <w:sz w:val="18"/>
                <w:szCs w:val="18"/>
              </w:rPr>
              <w:instrText xml:space="preserve"> AUTONUM  \* Arabic </w:instrText>
            </w:r>
            <w:r w:rsidRPr="002521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 Sánchez Martínez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</w:p>
        </w:tc>
      </w:tr>
      <w:tr w:rsidR="00CA69D2" w:rsidRPr="00252168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 w:rsidRPr="00252168">
              <w:rPr>
                <w:sz w:val="18"/>
                <w:szCs w:val="18"/>
              </w:rPr>
              <w:fldChar w:fldCharType="begin"/>
            </w:r>
            <w:r w:rsidRPr="00252168">
              <w:rPr>
                <w:sz w:val="18"/>
                <w:szCs w:val="18"/>
              </w:rPr>
              <w:instrText xml:space="preserve"> AUTONUM  \* Arabic </w:instrText>
            </w:r>
            <w:r w:rsidRPr="002521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María Lourdes Navarro Suárez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</w:p>
        </w:tc>
      </w:tr>
      <w:tr w:rsidR="00CA69D2" w:rsidRPr="00252168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 w:rsidRPr="00252168">
              <w:rPr>
                <w:sz w:val="18"/>
                <w:szCs w:val="18"/>
              </w:rPr>
              <w:fldChar w:fldCharType="begin"/>
            </w:r>
            <w:r w:rsidRPr="00252168">
              <w:rPr>
                <w:sz w:val="18"/>
                <w:szCs w:val="18"/>
              </w:rPr>
              <w:instrText xml:space="preserve"> AUTONUM  \* Arabic </w:instrText>
            </w:r>
            <w:r w:rsidRPr="002521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Martínez Muñoz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A69D2" w:rsidRPr="00252168" w:rsidTr="00CA10DA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Default="00CA69D2" w:rsidP="00CA10DA">
            <w:pPr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Manuel Vílchez García</w:t>
            </w:r>
          </w:p>
        </w:tc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A69D2" w:rsidRPr="00252168" w:rsidRDefault="00CA69D2" w:rsidP="00CA10DA">
            <w:pPr>
              <w:spacing w:before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CA69D2" w:rsidRPr="008D4E40" w:rsidRDefault="00CA69D2" w:rsidP="00CA69D2">
      <w:pPr>
        <w:pStyle w:val="Ttulo2acta"/>
      </w:pPr>
      <w:r w:rsidRPr="008D4E40">
        <w:t>Orden del día</w:t>
      </w:r>
    </w:p>
    <w:p w:rsidR="00CA69D2" w:rsidRPr="00857A44" w:rsidRDefault="00CA69D2" w:rsidP="00CA69D2">
      <w:pPr>
        <w:pStyle w:val="Puntosordendelda"/>
      </w:pPr>
      <w:r>
        <w:t>Lectura y aprobación, si procede, del acta de la/s sesión/es anterior/es</w:t>
      </w:r>
      <w:r w:rsidRPr="00857A44">
        <w:t>.</w:t>
      </w:r>
    </w:p>
    <w:p w:rsidR="00CA69D2" w:rsidRPr="008D4E40" w:rsidRDefault="00CA69D2" w:rsidP="00CA69D2">
      <w:pPr>
        <w:pStyle w:val="Puntosordendelda"/>
      </w:pPr>
      <w:r>
        <w:t xml:space="preserve">Determinar día y hora de la </w:t>
      </w:r>
      <w:r>
        <w:t>reunión del grupo.</w:t>
      </w:r>
    </w:p>
    <w:p w:rsidR="00CA69D2" w:rsidRDefault="00CA69D2" w:rsidP="00CA69D2">
      <w:pPr>
        <w:pStyle w:val="Puntosordendelda"/>
      </w:pPr>
      <w:r>
        <w:t>Análisis de necesidades del alumnado del centro</w:t>
      </w:r>
    </w:p>
    <w:p w:rsidR="00CA69D2" w:rsidRPr="00857A44" w:rsidRDefault="00CA69D2" w:rsidP="00CA69D2">
      <w:pPr>
        <w:pStyle w:val="Puntosordendelda"/>
      </w:pPr>
      <w:r>
        <w:t>La expresión oral y su aplicación en el aula</w:t>
      </w:r>
      <w:r>
        <w:t>.</w:t>
      </w:r>
    </w:p>
    <w:p w:rsidR="00CA69D2" w:rsidRPr="008E3E40" w:rsidRDefault="00CA69D2" w:rsidP="00CA69D2">
      <w:pPr>
        <w:pStyle w:val="Puntosordendelda"/>
      </w:pPr>
      <w:r w:rsidRPr="008E3E40">
        <w:t>Ruegos y preguntas.</w:t>
      </w:r>
    </w:p>
    <w:p w:rsidR="00CA69D2" w:rsidRPr="002453A5" w:rsidRDefault="00CA69D2" w:rsidP="00CA69D2">
      <w:pPr>
        <w:pStyle w:val="Ttulo2acta"/>
        <w:rPr>
          <w:bCs/>
          <w:lang w:val="es-ES"/>
        </w:rPr>
      </w:pPr>
      <w:r>
        <w:rPr>
          <w:lang w:val="es-ES"/>
        </w:rPr>
        <w:t xml:space="preserve">Caniles, </w:t>
      </w:r>
      <w:r>
        <w:rPr>
          <w:lang w:val="es-ES"/>
        </w:rPr>
        <w:t>13 de noviembre de 2019</w:t>
      </w:r>
    </w:p>
    <w:p w:rsidR="00CA69D2" w:rsidRDefault="00CA69D2" w:rsidP="00CA69D2">
      <w:pPr>
        <w:rPr>
          <w:lang w:val="es-ES_tradnl"/>
        </w:rPr>
      </w:pPr>
      <w:r w:rsidRPr="00BC2AF9">
        <w:rPr>
          <w:lang w:val="es-ES_tradnl"/>
        </w:rPr>
        <w:t xml:space="preserve">Se inicia la reunión a las </w:t>
      </w:r>
      <w:r>
        <w:rPr>
          <w:lang w:val="es-ES_tradnl"/>
        </w:rPr>
        <w:t>11.15 del 13 de noviembre de 2019</w:t>
      </w:r>
    </w:p>
    <w:p w:rsidR="00CA69D2" w:rsidRDefault="00CA69D2" w:rsidP="00CA69D2">
      <w:pPr>
        <w:pStyle w:val="Ttulo1puntoacta"/>
      </w:pPr>
      <w:r>
        <w:br w:type="page"/>
      </w:r>
      <w:r w:rsidRPr="009D5D48">
        <w:lastRenderedPageBreak/>
        <w:t xml:space="preserve">Punto nº </w:t>
      </w:r>
      <w:r w:rsidRPr="009D5D48">
        <w:fldChar w:fldCharType="begin"/>
      </w:r>
      <w:r w:rsidRPr="009D5D48">
        <w:instrText xml:space="preserve"> AUTONUM  \s . </w:instrText>
      </w:r>
      <w:r w:rsidRPr="009D5D48">
        <w:fldChar w:fldCharType="end"/>
      </w:r>
      <w:r w:rsidRPr="009D5D48">
        <w:t>- Lectura y aprobación, si procede, del acta de la/s sesión/es anterior/es</w:t>
      </w:r>
    </w:p>
    <w:p w:rsidR="00CA69D2" w:rsidRPr="00324704" w:rsidRDefault="00CA69D2" w:rsidP="00CA69D2">
      <w:pPr>
        <w:pStyle w:val="Ttulo1puntoacta"/>
        <w:jc w:val="both"/>
        <w:rPr>
          <w:b w:val="0"/>
        </w:rPr>
      </w:pPr>
      <w:r w:rsidRPr="00324704">
        <w:rPr>
          <w:b w:val="0"/>
        </w:rPr>
        <w:t>No procede.</w:t>
      </w:r>
    </w:p>
    <w:p w:rsidR="00CA69D2" w:rsidRPr="002453A5" w:rsidRDefault="00CA69D2" w:rsidP="00CA69D2">
      <w:pPr>
        <w:pStyle w:val="Ttulo1puntoacta"/>
        <w:jc w:val="both"/>
      </w:pPr>
      <w:r w:rsidRPr="002453A5">
        <w:t xml:space="preserve">Punto nº </w:t>
      </w:r>
      <w:r>
        <w:fldChar w:fldCharType="begin"/>
      </w:r>
      <w:r w:rsidRPr="002453A5">
        <w:instrText xml:space="preserve"> AUTONUM  \s . </w:instrText>
      </w:r>
      <w:r>
        <w:fldChar w:fldCharType="end"/>
      </w:r>
      <w:r w:rsidRPr="002453A5">
        <w:t xml:space="preserve">- </w:t>
      </w:r>
      <w:r>
        <w:t xml:space="preserve">Determinar día y hora de la reunión </w:t>
      </w:r>
      <w:r>
        <w:t>del grupo</w:t>
      </w:r>
    </w:p>
    <w:p w:rsidR="00CA69D2" w:rsidRPr="002453A5" w:rsidRDefault="00CA69D2" w:rsidP="00CA69D2">
      <w:pPr>
        <w:pStyle w:val="Estilo1"/>
      </w:pPr>
      <w:r>
        <w:t>Tras presentar el horario del profesorado, y ante la dificultad de encontrar huecos comunes, se determina que las reuniones se harán, aproximadamente cada mes, en los recreos de los miércoles, de 11.15 a 11.45, ampliando al siguiente recreo si fuese necesario.</w:t>
      </w:r>
    </w:p>
    <w:p w:rsidR="00CA69D2" w:rsidRDefault="00CA69D2" w:rsidP="00CA69D2">
      <w:pPr>
        <w:pStyle w:val="Ttulo1puntoacta"/>
        <w:jc w:val="both"/>
      </w:pPr>
      <w:r>
        <w:t xml:space="preserve">Punto nº </w:t>
      </w:r>
      <w:r>
        <w:fldChar w:fldCharType="begin"/>
      </w:r>
      <w:r>
        <w:instrText xml:space="preserve"> AUTONUM  \s . </w:instrText>
      </w:r>
      <w:r>
        <w:fldChar w:fldCharType="end"/>
      </w:r>
      <w:r>
        <w:t xml:space="preserve">- Análisis de </w:t>
      </w:r>
      <w:r>
        <w:t>las necesidades del alumnado del centro</w:t>
      </w:r>
    </w:p>
    <w:p w:rsidR="00CA69D2" w:rsidRDefault="00CA69D2" w:rsidP="00CA69D2">
      <w:pPr>
        <w:pStyle w:val="Ttulo1puntoacta"/>
        <w:jc w:val="both"/>
        <w:rPr>
          <w:b w:val="0"/>
        </w:rPr>
      </w:pPr>
      <w:r w:rsidRPr="006B4C97">
        <w:rPr>
          <w:b w:val="0"/>
        </w:rPr>
        <w:t xml:space="preserve">Dña. </w:t>
      </w:r>
      <w:r>
        <w:rPr>
          <w:b w:val="0"/>
        </w:rPr>
        <w:t>Vanessa Hidalgo, coordinadora del grupo, pregunta a los participantes cuáles piensan que son las principales necesidades del alumnado respecto a la expresión oral ya que el resto del profesorado ha ejercido en el centro durante los últimos años y tiene una visión más amplia</w:t>
      </w:r>
      <w:r w:rsidRPr="006B4C97">
        <w:rPr>
          <w:b w:val="0"/>
        </w:rPr>
        <w:t xml:space="preserve">. </w:t>
      </w:r>
      <w:r>
        <w:rPr>
          <w:b w:val="0"/>
        </w:rPr>
        <w:t>Tras presentar, brevemente, como el profesorado pone en práctica la expresión oral se determinan que el grupo debe tener tres objetivos fundamentales, teniendo en cuenta las necesidades:</w:t>
      </w:r>
    </w:p>
    <w:p w:rsidR="00CA69D2" w:rsidRDefault="00CA69D2" w:rsidP="00CA69D2">
      <w:pPr>
        <w:pStyle w:val="Ttulo1puntoacta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La realización de rúbricas de evaluación que sirvan como modelo común a todo el profesorado, con el objetivo de aunar criterios y de facilitar el proceso de aprendizaje del alumnado.</w:t>
      </w:r>
    </w:p>
    <w:p w:rsidR="00CA69D2" w:rsidRDefault="00CA69D2" w:rsidP="00CA69D2">
      <w:pPr>
        <w:pStyle w:val="Ttulo1puntoacta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Crear un esquema común de trabajo, adaptable a todas las asignaturas, que sirva al alumnado para crear estrategias y métodos de trabajo respecto a la expresión oral.</w:t>
      </w:r>
    </w:p>
    <w:p w:rsidR="00CA69D2" w:rsidRDefault="00CA69D2" w:rsidP="00CA69D2">
      <w:pPr>
        <w:pStyle w:val="Ttulo1puntoacta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Crear actividades tipo para todas las asignaturas, que traten la expresión oral de forma motivadora, creativa y significativa.</w:t>
      </w:r>
    </w:p>
    <w:p w:rsidR="00CA69D2" w:rsidRDefault="00CA69D2" w:rsidP="00CA69D2">
      <w:pPr>
        <w:pStyle w:val="Ttulo1puntoacta"/>
        <w:jc w:val="both"/>
      </w:pPr>
      <w:r>
        <w:t xml:space="preserve">Punto nº </w:t>
      </w:r>
      <w:r>
        <w:fldChar w:fldCharType="begin"/>
      </w:r>
      <w:r>
        <w:instrText xml:space="preserve"> AUTONUM  \s . </w:instrText>
      </w:r>
      <w:r>
        <w:fldChar w:fldCharType="end"/>
      </w:r>
      <w:r>
        <w:t xml:space="preserve">- </w:t>
      </w:r>
      <w:r>
        <w:t>Planes para el trimestre</w:t>
      </w:r>
    </w:p>
    <w:p w:rsidR="00CA69D2" w:rsidRDefault="00CA69D2" w:rsidP="00CA69D2">
      <w:pPr>
        <w:pStyle w:val="Ttulo1puntoacta"/>
        <w:jc w:val="both"/>
        <w:rPr>
          <w:b w:val="0"/>
        </w:rPr>
      </w:pPr>
      <w:r>
        <w:rPr>
          <w:b w:val="0"/>
        </w:rPr>
        <w:t xml:space="preserve">El grupo cuerda que, durante este trimestre, llevará a cabo algunas actividades de expresión oral </w:t>
      </w:r>
      <w:r w:rsidR="00031845">
        <w:rPr>
          <w:b w:val="0"/>
        </w:rPr>
        <w:t xml:space="preserve">y explicará al grupo cómo lo ha hecho y qué metodología se ha usado, </w:t>
      </w:r>
      <w:r w:rsidR="00031845">
        <w:rPr>
          <w:b w:val="0"/>
        </w:rPr>
        <w:lastRenderedPageBreak/>
        <w:t>para determinar con qué tipo de actividades está más familiarizado el grupo y cómo han funcionado para, a partir de ahí, crear un modelo común.</w:t>
      </w:r>
    </w:p>
    <w:p w:rsidR="00031845" w:rsidRDefault="00031845" w:rsidP="00CA69D2">
      <w:pPr>
        <w:pStyle w:val="Ttulo1puntoacta"/>
        <w:jc w:val="both"/>
        <w:rPr>
          <w:b w:val="0"/>
        </w:rPr>
      </w:pPr>
      <w:r>
        <w:rPr>
          <w:b w:val="0"/>
        </w:rPr>
        <w:t>Dña. Isabel propone la creación de un inventario de marcadores textuales común, que puedan traducirse a inglés y francés, y que sirvan como base al alumnado para crear sus textos orales. Dña. Isabel los redactará y presentará en la próxima reunión.</w:t>
      </w:r>
    </w:p>
    <w:p w:rsidR="00CA69D2" w:rsidRDefault="00CA69D2" w:rsidP="00CA69D2">
      <w:pPr>
        <w:pStyle w:val="Ttulo1puntoacta"/>
        <w:jc w:val="both"/>
      </w:pPr>
      <w:r>
        <w:t>Punto nº 5.- Ruegos y preguntas</w:t>
      </w:r>
    </w:p>
    <w:p w:rsidR="00CA69D2" w:rsidRPr="006B4C97" w:rsidRDefault="00CA69D2" w:rsidP="00CA69D2">
      <w:pPr>
        <w:pStyle w:val="Ttulo1puntoacta"/>
        <w:jc w:val="both"/>
        <w:rPr>
          <w:b w:val="0"/>
        </w:rPr>
      </w:pPr>
      <w:r>
        <w:rPr>
          <w:b w:val="0"/>
        </w:rPr>
        <w:t>No se realizan</w:t>
      </w:r>
    </w:p>
    <w:p w:rsidR="00CA69D2" w:rsidRDefault="00CA69D2" w:rsidP="00CA69D2">
      <w:pPr>
        <w:spacing w:before="720"/>
      </w:pPr>
      <w:r w:rsidRPr="002453A5">
        <w:t xml:space="preserve">Sin otros temas que tratar, se concluye la sesión a las </w:t>
      </w:r>
      <w:r w:rsidR="00031845">
        <w:t>11.45</w:t>
      </w:r>
      <w:bookmarkStart w:id="0" w:name="_GoBack"/>
      <w:bookmarkEnd w:id="0"/>
      <w:r w:rsidRPr="002453A5">
        <w:t xml:space="preserve"> horas. </w:t>
      </w:r>
    </w:p>
    <w:p w:rsidR="00CA69D2" w:rsidRPr="004A6905" w:rsidRDefault="00CA69D2" w:rsidP="00CA69D2">
      <w:pPr>
        <w:tabs>
          <w:tab w:val="left" w:pos="3119"/>
        </w:tabs>
        <w:jc w:val="center"/>
      </w:pPr>
    </w:p>
    <w:p w:rsidR="00CA69D2" w:rsidRPr="004A6905" w:rsidRDefault="00CA69D2" w:rsidP="00CA69D2">
      <w:pPr>
        <w:tabs>
          <w:tab w:val="left" w:pos="3119"/>
        </w:tabs>
        <w:jc w:val="center"/>
      </w:pPr>
    </w:p>
    <w:p w:rsidR="00CA69D2" w:rsidRPr="004A6905" w:rsidRDefault="00CA69D2" w:rsidP="00CA69D2">
      <w:pPr>
        <w:tabs>
          <w:tab w:val="left" w:pos="3119"/>
        </w:tabs>
        <w:jc w:val="center"/>
      </w:pPr>
    </w:p>
    <w:p w:rsidR="00CA69D2" w:rsidRPr="005F21D2" w:rsidRDefault="00CA69D2" w:rsidP="00CA69D2">
      <w:pPr>
        <w:tabs>
          <w:tab w:val="left" w:pos="3119"/>
        </w:tabs>
        <w:jc w:val="center"/>
        <w:rPr>
          <w:lang w:val="pt-PT"/>
        </w:rPr>
      </w:pPr>
      <w:r w:rsidRPr="002453A5">
        <w:rPr>
          <w:lang w:val="pt-PT"/>
        </w:rPr>
        <w:t>Fdo. Vanessa Hidalgo Martín</w:t>
      </w:r>
    </w:p>
    <w:p w:rsidR="00CA69D2" w:rsidRDefault="00CA69D2" w:rsidP="00CA69D2">
      <w:pPr>
        <w:jc w:val="center"/>
      </w:pPr>
      <w:r>
        <w:t>Jefa del Departamento</w:t>
      </w:r>
    </w:p>
    <w:p w:rsidR="00E5431E" w:rsidRDefault="00E5431E"/>
    <w:sectPr w:rsidR="00E54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0A38"/>
    <w:multiLevelType w:val="hybridMultilevel"/>
    <w:tmpl w:val="84F2C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C3E86"/>
    <w:multiLevelType w:val="hybridMultilevel"/>
    <w:tmpl w:val="12E2BDDA"/>
    <w:lvl w:ilvl="0" w:tplc="D56C162E">
      <w:start w:val="1"/>
      <w:numFmt w:val="decimal"/>
      <w:pStyle w:val="Puntosordendelda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D2"/>
    <w:rsid w:val="00031845"/>
    <w:rsid w:val="00CA69D2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DF39"/>
  <w15:chartTrackingRefBased/>
  <w15:docId w15:val="{46E0D2D1-2534-4C1D-B118-762A335B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D2"/>
    <w:pPr>
      <w:suppressAutoHyphens/>
      <w:spacing w:before="240" w:after="0" w:line="240" w:lineRule="auto"/>
      <w:jc w:val="both"/>
    </w:pPr>
    <w:rPr>
      <w:rFonts w:ascii="Calibri" w:eastAsia="Times New Roman" w:hAnsi="Calibri" w:cs="Times New Roman"/>
      <w:lang w:eastAsia="zh-CN"/>
    </w:rPr>
  </w:style>
  <w:style w:type="paragraph" w:styleId="Ttulo1">
    <w:name w:val="heading 1"/>
    <w:basedOn w:val="Normal"/>
    <w:next w:val="Normal"/>
    <w:link w:val="Ttulo1Car"/>
    <w:qFormat/>
    <w:rsid w:val="00CA69D2"/>
    <w:pPr>
      <w:keepNext/>
      <w:spacing w:before="12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6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69D2"/>
    <w:rPr>
      <w:rFonts w:ascii="Calibri" w:eastAsia="Times New Roman" w:hAnsi="Calibri" w:cs="Arial"/>
      <w:b/>
      <w:bCs/>
      <w:kern w:val="1"/>
      <w:sz w:val="28"/>
      <w:szCs w:val="32"/>
      <w:lang w:eastAsia="zh-CN"/>
    </w:rPr>
  </w:style>
  <w:style w:type="paragraph" w:customStyle="1" w:styleId="Puntosordendelda">
    <w:name w:val="Puntos orden del día"/>
    <w:basedOn w:val="Normal"/>
    <w:qFormat/>
    <w:rsid w:val="00CA69D2"/>
    <w:pPr>
      <w:numPr>
        <w:numId w:val="1"/>
      </w:numPr>
      <w:spacing w:before="120"/>
      <w:ind w:left="357" w:hanging="357"/>
    </w:pPr>
  </w:style>
  <w:style w:type="paragraph" w:customStyle="1" w:styleId="Encabezado1">
    <w:name w:val="Encabezado1"/>
    <w:basedOn w:val="Normal"/>
    <w:next w:val="Normal"/>
    <w:rsid w:val="00CA69D2"/>
    <w:pPr>
      <w:spacing w:before="120" w:after="60"/>
      <w:jc w:val="center"/>
    </w:pPr>
    <w:rPr>
      <w:rFonts w:cs="Cambria"/>
      <w:b/>
      <w:bCs/>
      <w:kern w:val="1"/>
      <w:sz w:val="32"/>
      <w:szCs w:val="32"/>
      <w:lang w:val="x-none"/>
    </w:rPr>
  </w:style>
  <w:style w:type="paragraph" w:customStyle="1" w:styleId="Ttulo2acta">
    <w:name w:val="Título 2 acta"/>
    <w:basedOn w:val="Ttulo2"/>
    <w:next w:val="Normal"/>
    <w:qFormat/>
    <w:rsid w:val="00CA69D2"/>
    <w:pPr>
      <w:keepLines w:val="0"/>
      <w:spacing w:before="300"/>
    </w:pPr>
    <w:rPr>
      <w:rFonts w:ascii="Calibri" w:eastAsia="Times New Roman" w:hAnsi="Calibri" w:cs="Calibri"/>
      <w:b/>
      <w:color w:val="auto"/>
      <w:sz w:val="22"/>
      <w:szCs w:val="22"/>
      <w:lang w:val="x-none"/>
    </w:rPr>
  </w:style>
  <w:style w:type="paragraph" w:customStyle="1" w:styleId="Estilo1">
    <w:name w:val="Estilo1"/>
    <w:basedOn w:val="Normal"/>
    <w:qFormat/>
    <w:rsid w:val="00CA69D2"/>
  </w:style>
  <w:style w:type="paragraph" w:customStyle="1" w:styleId="Ttulo1puntoacta">
    <w:name w:val="Título 1 punto acta"/>
    <w:basedOn w:val="Ttulo1"/>
    <w:qFormat/>
    <w:rsid w:val="00CA69D2"/>
    <w:pPr>
      <w:spacing w:before="320" w:after="0"/>
      <w:jc w:val="left"/>
    </w:pPr>
    <w:rPr>
      <w:sz w:val="24"/>
    </w:rPr>
  </w:style>
  <w:style w:type="paragraph" w:customStyle="1" w:styleId="Departamento">
    <w:name w:val="Departamento"/>
    <w:basedOn w:val="Normal"/>
    <w:qFormat/>
    <w:rsid w:val="00CA69D2"/>
    <w:pPr>
      <w:spacing w:before="120" w:after="120"/>
      <w:jc w:val="center"/>
    </w:pPr>
    <w:rPr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69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desconocido</dc:creator>
  <cp:keywords/>
  <dc:description/>
  <cp:lastModifiedBy>Autor desconocido</cp:lastModifiedBy>
  <cp:revision>1</cp:revision>
  <dcterms:created xsi:type="dcterms:W3CDTF">2020-02-02T12:11:00Z</dcterms:created>
  <dcterms:modified xsi:type="dcterms:W3CDTF">2020-02-02T12:24:00Z</dcterms:modified>
</cp:coreProperties>
</file>