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3" w:rsidRPr="00AC3FAD" w:rsidRDefault="009A4023" w:rsidP="00832F67">
      <w:pPr>
        <w:pStyle w:val="Ttulo2"/>
        <w:ind w:left="-1134"/>
      </w:pPr>
      <w:r w:rsidRPr="00AC3FAD">
        <w:t xml:space="preserve">5.6. ACCESO A </w:t>
      </w:r>
      <w:smartTag w:uri="urn:schemas-microsoft-com:office:smarttags" w:element="PersonName">
        <w:smartTagPr>
          <w:attr w:name="ProductID" w:val="LA UNIVERSIDAD PARA"/>
        </w:smartTagPr>
        <w:r w:rsidRPr="00AC3FAD">
          <w:t>LA UNIVERSIDAD PARA</w:t>
        </w:r>
      </w:smartTag>
      <w:r w:rsidRPr="00AC3FAD">
        <w:t xml:space="preserve"> MAYORES DE 25 AÑOS/ 40 AÑOS/ 45 AÑOS</w:t>
      </w:r>
    </w:p>
    <w:p w:rsidR="009A4023" w:rsidRPr="00AC6076" w:rsidRDefault="009A4023" w:rsidP="00BD1903">
      <w:pPr>
        <w:spacing w:before="100" w:beforeAutospacing="1" w:after="0" w:line="240" w:lineRule="auto"/>
        <w:ind w:left="-1134"/>
        <w:rPr>
          <w:rFonts w:ascii="NewsGotT" w:hAnsi="NewsGotT"/>
          <w:color w:val="FF0000"/>
          <w:sz w:val="20"/>
          <w:szCs w:val="20"/>
          <w:u w:val="single"/>
          <w:lang w:eastAsia="es-ES"/>
        </w:rPr>
      </w:pPr>
      <w:r w:rsidRPr="00AC3FAD">
        <w:rPr>
          <w:rFonts w:ascii="NewsGotT" w:hAnsi="NewsGotT"/>
          <w:sz w:val="20"/>
          <w:szCs w:val="20"/>
          <w:lang w:eastAsia="es-ES"/>
        </w:rPr>
        <w:t>Para más información consultar</w:t>
      </w:r>
      <w:r w:rsidRPr="00AC6076">
        <w:rPr>
          <w:rFonts w:ascii="NewsGotT" w:hAnsi="NewsGotT"/>
          <w:color w:val="FF0000"/>
          <w:sz w:val="20"/>
          <w:szCs w:val="20"/>
          <w:lang w:eastAsia="es-ES"/>
        </w:rPr>
        <w:t xml:space="preserve">: </w:t>
      </w:r>
      <w:r w:rsidR="00BD1903" w:rsidRPr="00AC6076">
        <w:rPr>
          <w:rFonts w:ascii="NewsGotT" w:hAnsi="NewsGotT"/>
          <w:color w:val="FF0000"/>
          <w:sz w:val="20"/>
          <w:szCs w:val="20"/>
          <w:lang w:eastAsia="es-ES"/>
        </w:rPr>
        <w:t xml:space="preserve"> </w:t>
      </w:r>
      <w:hyperlink r:id="rId6" w:history="1">
        <w:r w:rsidRPr="00AC6076">
          <w:rPr>
            <w:rStyle w:val="Hipervnculo"/>
            <w:rFonts w:ascii="NewsGotT" w:hAnsi="NewsGotT"/>
            <w:color w:val="FF0000"/>
            <w:sz w:val="20"/>
            <w:szCs w:val="20"/>
            <w:lang w:eastAsia="es-ES"/>
          </w:rPr>
          <w:t>http://www.</w:t>
        </w:r>
        <w:r w:rsidRPr="00AC6076">
          <w:rPr>
            <w:rStyle w:val="Hipervnculo"/>
            <w:rFonts w:ascii="NewsGotT" w:hAnsi="NewsGotT"/>
            <w:color w:val="FF0000"/>
            <w:sz w:val="20"/>
            <w:szCs w:val="20"/>
          </w:rPr>
          <w:t>distritounicoandaluz.cec.junta-andalucia.es</w:t>
        </w:r>
      </w:hyperlink>
      <w:r w:rsidR="00AC6076">
        <w:rPr>
          <w:rStyle w:val="Hipervnculo"/>
          <w:rFonts w:ascii="NewsGotT" w:hAnsi="NewsGotT"/>
          <w:color w:val="FF0000"/>
          <w:sz w:val="20"/>
          <w:szCs w:val="20"/>
          <w:u w:val="none"/>
        </w:rPr>
        <w:t xml:space="preserve">                    </w:t>
      </w:r>
      <w:r w:rsidR="00BD1903" w:rsidRPr="00AC6076">
        <w:rPr>
          <w:rFonts w:ascii="NewsGotT" w:hAnsi="NewsGotT"/>
          <w:color w:val="FF0000"/>
          <w:sz w:val="20"/>
          <w:szCs w:val="20"/>
          <w:u w:val="single"/>
          <w:lang w:eastAsia="es-ES"/>
        </w:rPr>
        <w:t>http://</w:t>
      </w:r>
      <w:r w:rsidRPr="00AC6076">
        <w:rPr>
          <w:rFonts w:ascii="NewsGotT" w:hAnsi="NewsGotT"/>
          <w:color w:val="FF0000"/>
          <w:sz w:val="20"/>
          <w:szCs w:val="20"/>
          <w:u w:val="single"/>
          <w:lang w:eastAsia="es-ES"/>
        </w:rPr>
        <w:t xml:space="preserve"> </w:t>
      </w:r>
      <w:hyperlink r:id="rId7" w:history="1">
        <w:r w:rsidRPr="00AC6076">
          <w:rPr>
            <w:rFonts w:ascii="NewsGotT" w:hAnsi="NewsGotT"/>
            <w:color w:val="FF0000"/>
            <w:sz w:val="20"/>
            <w:szCs w:val="20"/>
            <w:u w:val="single"/>
            <w:lang w:eastAsia="es-ES"/>
          </w:rPr>
          <w:t>www.uca.es</w:t>
        </w:r>
      </w:hyperlink>
    </w:p>
    <w:tbl>
      <w:tblPr>
        <w:tblW w:w="10650" w:type="dxa"/>
        <w:tblCellSpacing w:w="7" w:type="dxa"/>
        <w:tblInd w:w="-994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52"/>
        <w:gridCol w:w="3490"/>
        <w:gridCol w:w="2803"/>
        <w:gridCol w:w="2705"/>
      </w:tblGrid>
      <w:tr w:rsidR="009A4023" w:rsidRPr="007E1BF3" w:rsidTr="00AC6076">
        <w:trPr>
          <w:tblCellSpacing w:w="7" w:type="dxa"/>
        </w:trPr>
        <w:tc>
          <w:tcPr>
            <w:tcW w:w="1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  <w:tc>
          <w:tcPr>
            <w:tcW w:w="3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Mayores de 25 años</w:t>
            </w:r>
          </w:p>
        </w:tc>
        <w:tc>
          <w:tcPr>
            <w:tcW w:w="2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Mayores de 40 años</w:t>
            </w:r>
          </w:p>
        </w:tc>
        <w:tc>
          <w:tcPr>
            <w:tcW w:w="26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Mayores de 45 años</w:t>
            </w:r>
          </w:p>
        </w:tc>
      </w:tr>
      <w:tr w:rsidR="009A4023" w:rsidRPr="007E1BF3" w:rsidTr="00AC6076">
        <w:trPr>
          <w:tblCellSpacing w:w="7" w:type="dxa"/>
        </w:trPr>
        <w:tc>
          <w:tcPr>
            <w:tcW w:w="1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REQUISITOS</w:t>
            </w:r>
          </w:p>
        </w:tc>
        <w:tc>
          <w:tcPr>
            <w:tcW w:w="3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Tener los 25 años o cumplirlos en el año natural en que se realiza la prueba.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No tener superada </w:t>
            </w:r>
            <w:smartTag w:uri="urn:schemas-microsoft-com:office:smarttags" w:element="PersonName">
              <w:smartTagPr>
                <w:attr w:name="ProductID" w:val="la P."/>
              </w:smartTagPr>
              <w:r w:rsidRPr="007C62CE">
                <w:rPr>
                  <w:rFonts w:ascii="NewsGotT" w:hAnsi="NewsGotT"/>
                  <w:sz w:val="20"/>
                  <w:szCs w:val="20"/>
                  <w:lang w:eastAsia="es-ES"/>
                </w:rPr>
                <w:t>la P.</w:t>
              </w:r>
            </w:smartTag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de Ac. a </w:t>
            </w:r>
            <w:smartTag w:uri="urn:schemas-microsoft-com:office:smarttags" w:element="PersonName">
              <w:smartTagPr>
                <w:attr w:name="ProductID" w:val="la Univ."/>
              </w:smartTagPr>
              <w:r w:rsidRPr="007C62CE">
                <w:rPr>
                  <w:rFonts w:ascii="NewsGotT" w:hAnsi="NewsGotT"/>
                  <w:sz w:val="20"/>
                  <w:szCs w:val="20"/>
                  <w:lang w:eastAsia="es-ES"/>
                </w:rPr>
                <w:t>la Univ.</w:t>
              </w:r>
            </w:smartTag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habiendo superado el bachiller o COU.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tener un título de Técnico Superior de FP o equivalente.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tener un título universitario.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haber superado COU con anterioridad al curso 74/75.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haber superado el curso Preuniversitario y las Pruebas. de Madurez.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tener título de bachillerato por planes anteriores a 1953.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No tener otros estudios que, por homologación o equivalencia, otorguen acceso.</w:t>
            </w:r>
          </w:p>
          <w:p w:rsidR="009A4023" w:rsidRPr="007C62CE" w:rsidRDefault="009A4023" w:rsidP="00832F67">
            <w:pPr>
              <w:numPr>
                <w:ilvl w:val="0"/>
                <w:numId w:val="1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Se podrán presentar nuevamente a la prueba para mejorar la nota, quienes habiéndola superado con anterioridad, no reúnen alguna de las situaciones excluyentes anteriores.</w:t>
            </w:r>
          </w:p>
        </w:tc>
        <w:tc>
          <w:tcPr>
            <w:tcW w:w="2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832F67">
            <w:pPr>
              <w:numPr>
                <w:ilvl w:val="0"/>
                <w:numId w:val="2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Tener los 40 años o cumplirlos en el año en que se adquiera el requisito de acceso.</w:t>
            </w:r>
          </w:p>
          <w:p w:rsidR="009A4023" w:rsidRPr="007C62CE" w:rsidRDefault="009A4023" w:rsidP="00832F67">
            <w:pPr>
              <w:numPr>
                <w:ilvl w:val="0"/>
                <w:numId w:val="2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Poseer experiencia laboral y profesional relacionada.</w:t>
            </w:r>
          </w:p>
          <w:p w:rsidR="009A4023" w:rsidRPr="007C62CE" w:rsidRDefault="009A4023" w:rsidP="00832F67">
            <w:pPr>
              <w:numPr>
                <w:ilvl w:val="0"/>
                <w:numId w:val="2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No poseer otros requisitos que habiliten para acceder a los estudios que desea cursar. </w:t>
            </w:r>
          </w:p>
          <w:p w:rsidR="009A4023" w:rsidRDefault="009A4023" w:rsidP="00832F67">
            <w:pPr>
              <w:numPr>
                <w:ilvl w:val="0"/>
                <w:numId w:val="2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Podrán volver a solicitar una nueva valoración, quienes ya participaron en este procedimiento. </w:t>
            </w:r>
          </w:p>
          <w:p w:rsidR="008A08CF" w:rsidRDefault="008A08CF" w:rsidP="008A08CF">
            <w:pPr>
              <w:spacing w:after="0" w:line="240" w:lineRule="auto"/>
              <w:ind w:left="360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8A08CF" w:rsidRPr="008A08CF" w:rsidRDefault="008A08CF" w:rsidP="008A08CF">
            <w:pPr>
              <w:spacing w:after="0" w:line="240" w:lineRule="auto"/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</w:pPr>
            <w:r w:rsidRPr="008A08CF">
              <w:rPr>
                <w:rFonts w:ascii="NewsGotT" w:hAnsi="NewsGotT" w:cs="Arial"/>
                <w:color w:val="000000" w:themeColor="text1"/>
                <w:spacing w:val="-1"/>
                <w:shd w:val="clear" w:color="auto" w:fill="FFFFFF"/>
              </w:rPr>
              <w:t>El acceso se realizará respecto a unas enseñanzas concretas, ofertadas por la universidad, a cuyo efecto el interesado dirigirá la correspondiente solicitud al Rector de la universidad.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  <w:tc>
          <w:tcPr>
            <w:tcW w:w="26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4023" w:rsidRPr="007C62CE" w:rsidRDefault="009A4023" w:rsidP="00832F67">
            <w:pPr>
              <w:numPr>
                <w:ilvl w:val="0"/>
                <w:numId w:val="3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Tener los 45 años o cumplirlos en el año natural en que se celebre la prueba.</w:t>
            </w:r>
          </w:p>
          <w:p w:rsidR="009A4023" w:rsidRPr="007C62CE" w:rsidRDefault="009A4023" w:rsidP="00832F67">
            <w:pPr>
              <w:numPr>
                <w:ilvl w:val="0"/>
                <w:numId w:val="3"/>
              </w:num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No poseer otros requisitos que le permitan el acceso a los estudios universitarios ni puedan acreditar experiencia laboral o profesional en relación con los estudios de Grado que desea realizar. 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</w:tr>
      <w:tr w:rsidR="009A4023" w:rsidRPr="007E1BF3" w:rsidTr="00AC6076">
        <w:trPr>
          <w:tblCellSpacing w:w="7" w:type="dxa"/>
        </w:trPr>
        <w:tc>
          <w:tcPr>
            <w:tcW w:w="1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ESTRUCTURA GENERAL DE LA PRUEBA</w:t>
            </w:r>
          </w:p>
        </w:tc>
        <w:tc>
          <w:tcPr>
            <w:tcW w:w="3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FASE GENERAL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3 ejercicios: Comentario de texto, Lengua Castellana y Lengua Extranjera. (1 hora)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FASE ESPECIFICA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Elegir una Rama de Conocimiento y examinarse de dos materias elegidas entre las vinculadas a dicha Rama. (3 Horas)</w:t>
            </w:r>
          </w:p>
        </w:tc>
        <w:tc>
          <w:tcPr>
            <w:tcW w:w="2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Se accede mediante acreditación de experiencia laboral o profesional. El procedimiento se compone de dos fases: 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Fase I: </w:t>
            </w:r>
            <w:hyperlink r:id="rId8" w:history="1">
              <w:r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>Valoración de la experiencia</w:t>
              </w:r>
            </w:hyperlink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Fase II: </w:t>
            </w:r>
            <w:hyperlink r:id="rId9" w:history="1">
              <w:r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>Entrevista</w:t>
              </w:r>
            </w:hyperlink>
            <w:r w:rsidR="00742357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 </w:t>
            </w:r>
            <w:r w:rsidR="00742357" w:rsidRPr="007C62CE">
              <w:rPr>
                <w:rFonts w:ascii="NewsGotT" w:hAnsi="NewsGotT"/>
                <w:sz w:val="20"/>
                <w:szCs w:val="20"/>
                <w:lang w:eastAsia="es-ES"/>
              </w:rPr>
              <w:t>(para quien haya superado Fase I).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  <w:tc>
          <w:tcPr>
            <w:tcW w:w="26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La prueba tendrá como objetivo apreciar la madurez e idoneidad del candidato. El procedimiento tiene dos fases: </w:t>
            </w:r>
          </w:p>
          <w:p w:rsidR="009A4023" w:rsidRPr="007C62CE" w:rsidRDefault="00AF02FA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hyperlink r:id="rId10" w:anchor="Fase%20I%23Fase%20I" w:history="1">
              <w:r w:rsidR="009A4023"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 xml:space="preserve">Fase I: Ejercicios </w:t>
              </w:r>
            </w:hyperlink>
            <w:r w:rsidR="009A4023" w:rsidRPr="007C62CE">
              <w:rPr>
                <w:rFonts w:ascii="NewsGotT" w:hAnsi="NewsGotT"/>
                <w:sz w:val="20"/>
                <w:szCs w:val="20"/>
                <w:lang w:eastAsia="es-ES"/>
              </w:rPr>
              <w:t>(Comentario de texto y Lengua Castellana)</w:t>
            </w:r>
          </w:p>
          <w:p w:rsidR="009A4023" w:rsidRPr="007C62CE" w:rsidRDefault="00AF02FA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hyperlink r:id="rId11" w:anchor="Fase%20II%23Fase%20II" w:history="1">
              <w:r w:rsidR="009A4023"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 xml:space="preserve">Fase II: Entrevista </w:t>
              </w:r>
            </w:hyperlink>
            <w:r w:rsidR="009A4023" w:rsidRPr="007C62CE">
              <w:rPr>
                <w:rFonts w:ascii="NewsGotT" w:hAnsi="NewsGotT"/>
                <w:sz w:val="20"/>
                <w:szCs w:val="20"/>
                <w:lang w:eastAsia="es-ES"/>
              </w:rPr>
              <w:t>(para quien haya superado Fase I).</w:t>
            </w:r>
          </w:p>
        </w:tc>
      </w:tr>
      <w:tr w:rsidR="009A4023" w:rsidRPr="007E1BF3" w:rsidTr="00AC6076">
        <w:trPr>
          <w:tblCellSpacing w:w="7" w:type="dxa"/>
        </w:trPr>
        <w:tc>
          <w:tcPr>
            <w:tcW w:w="1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:rsidR="009A4023" w:rsidRPr="00D45EF0" w:rsidRDefault="009A4023" w:rsidP="00A94D38">
            <w:pPr>
              <w:spacing w:after="0" w:line="240" w:lineRule="auto"/>
              <w:rPr>
                <w:rFonts w:ascii="NewsGotT" w:hAnsi="NewsGotT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CALENDARIO EN EL CURSO 201</w:t>
            </w:r>
            <w:r w:rsidR="00BD43FF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9</w:t>
            </w:r>
            <w:r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/20</w:t>
            </w:r>
            <w:r w:rsidR="00BD43FF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 xml:space="preserve"> PARA LA ADMISIÓN AL</w:t>
            </w:r>
            <w:r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 xml:space="preserve"> CURSO 20</w:t>
            </w:r>
            <w:r w:rsidR="00BD43FF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/20</w:t>
            </w:r>
            <w:r w:rsidR="00BD43FF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21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  <w:tc>
          <w:tcPr>
            <w:tcW w:w="3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- 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El plazo de presentación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de solicitudes s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erá del 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2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al 20 de marzo de 20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, en la universidad que desee realizar la prueba.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- 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La fecha de realización de exámenes ser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á: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i/>
                <w:iCs/>
                <w:sz w:val="20"/>
                <w:szCs w:val="20"/>
                <w:lang w:eastAsia="es-ES"/>
              </w:rPr>
              <w:t xml:space="preserve">Fase General: 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Viernes, 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17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de abril 20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.</w:t>
            </w:r>
          </w:p>
          <w:p w:rsidR="009A4023" w:rsidRPr="007C62CE" w:rsidRDefault="009A4023" w:rsidP="00BD43FF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i/>
                <w:iCs/>
                <w:sz w:val="20"/>
                <w:szCs w:val="20"/>
                <w:lang w:eastAsia="es-ES"/>
              </w:rPr>
              <w:t>Fase Específica: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Sábado, 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18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abril 20</w:t>
            </w:r>
            <w:r w:rsidR="00BD43FF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AF02FA" w:rsidP="00832F67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NewsGotT" w:hAnsi="NewsGotT"/>
                <w:sz w:val="20"/>
                <w:szCs w:val="20"/>
                <w:lang w:eastAsia="es-ES"/>
              </w:rPr>
            </w:pPr>
            <w:hyperlink r:id="rId12" w:history="1">
              <w:r w:rsidR="009A4023"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>Presentación de solicitudes:</w:t>
              </w:r>
            </w:hyperlink>
            <w:r w:rsidR="009A4023">
              <w:rPr>
                <w:rFonts w:ascii="NewsGotT" w:hAnsi="NewsGotT"/>
                <w:sz w:val="20"/>
                <w:szCs w:val="20"/>
                <w:lang w:eastAsia="es-ES"/>
              </w:rPr>
              <w:t xml:space="preserve"> del 2</w:t>
            </w:r>
            <w:r w:rsidR="00BC19F9" w:rsidRPr="00BC19F9"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  <w:t>5</w:t>
            </w:r>
            <w:r w:rsidR="009A4023">
              <w:rPr>
                <w:rFonts w:ascii="NewsGotT" w:hAnsi="NewsGotT"/>
                <w:sz w:val="20"/>
                <w:szCs w:val="20"/>
                <w:lang w:eastAsia="es-ES"/>
              </w:rPr>
              <w:t xml:space="preserve"> de Noviembre al </w:t>
            </w:r>
            <w:r w:rsidR="009A4023" w:rsidRPr="00BC19F9"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BC19F9" w:rsidRPr="00BC19F9"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  <w:t>3</w:t>
            </w:r>
            <w:r w:rsidR="009A4023">
              <w:rPr>
                <w:rFonts w:ascii="NewsGotT" w:hAnsi="NewsGotT"/>
                <w:sz w:val="20"/>
                <w:szCs w:val="20"/>
                <w:lang w:eastAsia="es-ES"/>
              </w:rPr>
              <w:t xml:space="preserve"> de Diciembre de </w:t>
            </w:r>
            <w:r w:rsidR="009A4023" w:rsidRPr="00BC19F9"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  <w:t>201</w:t>
            </w:r>
            <w:r w:rsidR="00BC19F9" w:rsidRPr="00BC19F9">
              <w:rPr>
                <w:rFonts w:ascii="NewsGotT" w:hAnsi="NewsGotT"/>
                <w:color w:val="000000" w:themeColor="text1"/>
                <w:sz w:val="20"/>
                <w:szCs w:val="20"/>
                <w:lang w:eastAsia="es-ES"/>
              </w:rPr>
              <w:t>9.</w:t>
            </w:r>
          </w:p>
          <w:p w:rsidR="009A4023" w:rsidRPr="007C62CE" w:rsidRDefault="009A4023" w:rsidP="00832F67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Publicación de la valoración y </w:t>
            </w:r>
            <w:r w:rsidR="00571E8C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d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el calendario de entrevistas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: </w:t>
            </w:r>
            <w:r w:rsidR="00571E8C">
              <w:rPr>
                <w:rFonts w:ascii="NewsGotT" w:hAnsi="NewsGotT"/>
                <w:sz w:val="20"/>
                <w:szCs w:val="20"/>
                <w:lang w:eastAsia="es-ES"/>
              </w:rPr>
              <w:t>7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de Febrero de 20</w:t>
            </w:r>
            <w:r w:rsidR="00571E8C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.</w:t>
            </w:r>
          </w:p>
          <w:p w:rsidR="009A4023" w:rsidRPr="00AC6076" w:rsidRDefault="009A4023" w:rsidP="00AC6076">
            <w:pPr>
              <w:spacing w:after="0" w:line="240" w:lineRule="auto"/>
              <w:ind w:left="-30" w:firstLine="30"/>
              <w:rPr>
                <w:rFonts w:ascii="NewsGotT" w:hAnsi="NewsGotT"/>
                <w:sz w:val="18"/>
                <w:szCs w:val="18"/>
                <w:lang w:eastAsia="es-ES"/>
              </w:rPr>
            </w:pPr>
            <w:r w:rsidRPr="00AC6076">
              <w:rPr>
                <w:rFonts w:ascii="NewsGotT" w:hAnsi="NewsGotT"/>
                <w:b/>
                <w:bCs/>
                <w:sz w:val="18"/>
                <w:szCs w:val="18"/>
                <w:lang w:eastAsia="es-ES"/>
              </w:rPr>
              <w:t>Nota Importante</w:t>
            </w:r>
            <w:r w:rsidRPr="00AC6076">
              <w:rPr>
                <w:rFonts w:ascii="NewsGotT" w:hAnsi="NewsGotT"/>
                <w:sz w:val="18"/>
                <w:szCs w:val="18"/>
                <w:lang w:eastAsia="es-ES"/>
              </w:rPr>
              <w:t>: Quienes no superen esta vía de acceso deben saber que el plazo de inscripción en la prueba de mayores de 25 y 45 finaliza el 20 de marzo de 20</w:t>
            </w:r>
            <w:r w:rsidR="00AA324C" w:rsidRPr="00AC6076">
              <w:rPr>
                <w:rFonts w:ascii="NewsGotT" w:hAnsi="NewsGotT"/>
                <w:sz w:val="18"/>
                <w:szCs w:val="18"/>
                <w:lang w:eastAsia="es-ES"/>
              </w:rPr>
              <w:t>20</w:t>
            </w:r>
            <w:r w:rsidRPr="00AC6076">
              <w:rPr>
                <w:rFonts w:ascii="NewsGotT" w:hAnsi="NewsGotT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26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a)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 </w:t>
            </w:r>
            <w:hyperlink r:id="rId13" w:history="1">
              <w:r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>Presentación de solicitudes:</w:t>
              </w:r>
            </w:hyperlink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Del </w:t>
            </w:r>
            <w:r w:rsidR="00171810">
              <w:rPr>
                <w:rFonts w:ascii="NewsGotT" w:hAnsi="NewsGotT"/>
                <w:sz w:val="20"/>
                <w:szCs w:val="20"/>
                <w:lang w:eastAsia="es-ES"/>
              </w:rPr>
              <w:t>2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al 20 de Marzo de 20</w:t>
            </w:r>
            <w:r w:rsidR="00171810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b) 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>Celebración de Fase I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: </w:t>
            </w:r>
            <w:r w:rsidR="00171810">
              <w:rPr>
                <w:rFonts w:ascii="NewsGotT" w:hAnsi="NewsGotT"/>
                <w:sz w:val="20"/>
                <w:szCs w:val="20"/>
                <w:lang w:eastAsia="es-ES"/>
              </w:rPr>
              <w:t>17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 de Abril de 20</w:t>
            </w:r>
            <w:r w:rsidR="00171810">
              <w:rPr>
                <w:rFonts w:ascii="NewsGotT" w:hAnsi="NewsGotT"/>
                <w:sz w:val="20"/>
                <w:szCs w:val="20"/>
                <w:lang w:eastAsia="es-ES"/>
              </w:rPr>
              <w:t>20</w:t>
            </w: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c)</w:t>
            </w:r>
            <w:r w:rsidRPr="007C62CE">
              <w:rPr>
                <w:rFonts w:ascii="NewsGotT" w:hAnsi="NewsGotT"/>
                <w:sz w:val="20"/>
                <w:szCs w:val="20"/>
                <w:u w:val="single"/>
                <w:lang w:eastAsia="es-ES"/>
              </w:rPr>
              <w:t xml:space="preserve"> Fase II: proceso de entrevistas</w:t>
            </w:r>
            <w:r w:rsidR="00EB15E6">
              <w:rPr>
                <w:rFonts w:ascii="NewsGotT" w:hAnsi="NewsGot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 xml:space="preserve">A partir del </w:t>
            </w:r>
            <w:r w:rsidR="00BD1903">
              <w:rPr>
                <w:rFonts w:ascii="NewsGotT" w:hAnsi="NewsGotT"/>
                <w:sz w:val="20"/>
                <w:szCs w:val="20"/>
                <w:lang w:eastAsia="es-ES"/>
              </w:rPr>
              <w:t xml:space="preserve">11 </w:t>
            </w:r>
            <w:r>
              <w:rPr>
                <w:rFonts w:ascii="NewsGotT" w:hAnsi="NewsGotT"/>
                <w:sz w:val="20"/>
                <w:szCs w:val="20"/>
                <w:lang w:eastAsia="es-ES"/>
              </w:rPr>
              <w:t>de Mayo de 20</w:t>
            </w:r>
            <w:r w:rsidR="00BD1903">
              <w:rPr>
                <w:rFonts w:ascii="NewsGotT" w:hAnsi="NewsGotT"/>
                <w:sz w:val="20"/>
                <w:szCs w:val="20"/>
                <w:lang w:eastAsia="es-ES"/>
              </w:rPr>
              <w:t>20.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</w:tr>
      <w:tr w:rsidR="009A4023" w:rsidRPr="007E1BF3" w:rsidTr="00AC6076">
        <w:trPr>
          <w:tblCellSpacing w:w="7" w:type="dxa"/>
        </w:trPr>
        <w:tc>
          <w:tcPr>
            <w:tcW w:w="16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jc w:val="center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b/>
                <w:bCs/>
                <w:sz w:val="20"/>
                <w:szCs w:val="20"/>
                <w:lang w:eastAsia="es-ES"/>
              </w:rPr>
              <w:t>CURSO DE PREPARACIÓN</w:t>
            </w:r>
          </w:p>
        </w:tc>
        <w:tc>
          <w:tcPr>
            <w:tcW w:w="3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Preinscripción: 1ª quincena de octubre.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Matriculación: 2ª quincena de octubre.</w:t>
            </w:r>
          </w:p>
          <w:p w:rsidR="009A4023" w:rsidRPr="007C62CE" w:rsidRDefault="00AF02FA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hyperlink r:id="rId14" w:history="1">
              <w:r w:rsidR="009A4023" w:rsidRPr="007C62CE">
                <w:rPr>
                  <w:rFonts w:ascii="NewsGotT" w:hAnsi="NewsGotT"/>
                  <w:sz w:val="20"/>
                  <w:szCs w:val="20"/>
                  <w:u w:val="single"/>
                  <w:lang w:eastAsia="es-ES"/>
                </w:rPr>
                <w:t>Más información</w:t>
              </w:r>
            </w:hyperlink>
            <w:r w:rsidR="009A4023"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en www.uca.es</w:t>
            </w:r>
          </w:p>
        </w:tc>
        <w:tc>
          <w:tcPr>
            <w:tcW w:w="2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</w:tc>
        <w:tc>
          <w:tcPr>
            <w:tcW w:w="26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Preinscripción: 1ª quincena de octubre</w:t>
            </w:r>
          </w:p>
          <w:p w:rsidR="009A4023" w:rsidRPr="007C62CE" w:rsidRDefault="009A4023" w:rsidP="00A94D38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7C62CE">
              <w:rPr>
                <w:rFonts w:ascii="NewsGotT" w:hAnsi="NewsGotT"/>
                <w:sz w:val="20"/>
                <w:szCs w:val="20"/>
                <w:lang w:eastAsia="es-ES"/>
              </w:rPr>
              <w:t>Matriculación: 2ª quincena de octubre.</w:t>
            </w:r>
          </w:p>
          <w:p w:rsidR="009A4023" w:rsidRPr="007C62CE" w:rsidRDefault="00AF02FA" w:rsidP="00AF02FA">
            <w:pPr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hyperlink w:history="1">
              <w:r w:rsidRPr="004C72B9">
                <w:rPr>
                  <w:rStyle w:val="Hipervnculo"/>
                  <w:rFonts w:ascii="NewsGotT" w:hAnsi="NewsGotT"/>
                  <w:sz w:val="20"/>
                  <w:szCs w:val="20"/>
                  <w:lang w:eastAsia="es-ES"/>
                </w:rPr>
                <w:t>Más info</w:t>
              </w:r>
            </w:hyperlink>
            <w:r w:rsidR="009A4023" w:rsidRPr="007C62CE">
              <w:rPr>
                <w:rFonts w:ascii="NewsGotT" w:hAnsi="NewsGotT"/>
                <w:sz w:val="20"/>
                <w:szCs w:val="20"/>
                <w:lang w:eastAsia="es-ES"/>
              </w:rPr>
              <w:t xml:space="preserve"> en www.uca.es</w:t>
            </w:r>
          </w:p>
        </w:tc>
      </w:tr>
    </w:tbl>
    <w:p w:rsidR="009A4023" w:rsidRDefault="009A4023" w:rsidP="00AF02FA">
      <w:bookmarkStart w:id="0" w:name="_GoBack"/>
      <w:bookmarkEnd w:id="0"/>
    </w:p>
    <w:sectPr w:rsidR="009A4023" w:rsidSect="00832F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702"/>
    <w:multiLevelType w:val="multilevel"/>
    <w:tmpl w:val="4FB6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5472B6"/>
    <w:multiLevelType w:val="multilevel"/>
    <w:tmpl w:val="E21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E7030"/>
    <w:multiLevelType w:val="multilevel"/>
    <w:tmpl w:val="67E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C452A"/>
    <w:multiLevelType w:val="multilevel"/>
    <w:tmpl w:val="19AEA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AEF22F2"/>
    <w:multiLevelType w:val="multilevel"/>
    <w:tmpl w:val="AACA9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67"/>
    <w:rsid w:val="00007AC2"/>
    <w:rsid w:val="000E4C6C"/>
    <w:rsid w:val="00171810"/>
    <w:rsid w:val="001E3E52"/>
    <w:rsid w:val="00285EC1"/>
    <w:rsid w:val="00571E8C"/>
    <w:rsid w:val="005F4F36"/>
    <w:rsid w:val="00742357"/>
    <w:rsid w:val="007C62CE"/>
    <w:rsid w:val="007E1BF3"/>
    <w:rsid w:val="00832F67"/>
    <w:rsid w:val="008A08CF"/>
    <w:rsid w:val="00994B3B"/>
    <w:rsid w:val="009A4023"/>
    <w:rsid w:val="00A839E0"/>
    <w:rsid w:val="00A94D38"/>
    <w:rsid w:val="00AA324C"/>
    <w:rsid w:val="00AC3FAD"/>
    <w:rsid w:val="00AC6076"/>
    <w:rsid w:val="00AF02FA"/>
    <w:rsid w:val="00BC19F9"/>
    <w:rsid w:val="00BD1903"/>
    <w:rsid w:val="00BD43FF"/>
    <w:rsid w:val="00D45EF0"/>
    <w:rsid w:val="00DF7B28"/>
    <w:rsid w:val="00EB15E6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32F67"/>
    <w:pPr>
      <w:keepNext/>
      <w:spacing w:after="0" w:line="240" w:lineRule="auto"/>
      <w:outlineLvl w:val="1"/>
    </w:pPr>
    <w:rPr>
      <w:rFonts w:ascii="NewsGotT" w:eastAsia="Times New Roman" w:hAnsi="NewsGotT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32F67"/>
    <w:rPr>
      <w:rFonts w:ascii="NewsGotT" w:hAnsi="NewsGotT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45E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32F67"/>
    <w:pPr>
      <w:keepNext/>
      <w:spacing w:after="0" w:line="240" w:lineRule="auto"/>
      <w:outlineLvl w:val="1"/>
    </w:pPr>
    <w:rPr>
      <w:rFonts w:ascii="NewsGotT" w:eastAsia="Times New Roman" w:hAnsi="NewsGotT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32F67"/>
    <w:rPr>
      <w:rFonts w:ascii="NewsGotT" w:hAnsi="NewsGotT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45E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acceso/mayores-de-40/baremacion-y-entrevista" TargetMode="External"/><Relationship Id="rId13" Type="http://schemas.openxmlformats.org/officeDocument/2006/relationships/hyperlink" Target="http://www.uca.es/acceso/mayores-de-45/inscripc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a.es/" TargetMode="External"/><Relationship Id="rId12" Type="http://schemas.openxmlformats.org/officeDocument/2006/relationships/hyperlink" Target="http://www.uca.es/acceso/mayores-de-40/inscripcion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stritounicoandaluz.cec.junta-andalucia.es" TargetMode="External"/><Relationship Id="rId11" Type="http://schemas.openxmlformats.org/officeDocument/2006/relationships/hyperlink" Target="http://www.uca.es/acceso/portal.do?IDM=46&amp;NM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a.es/acceso/portal.do?IDM=46&amp;NM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.es/acceso/mayores-de-40/baremacion-y-entrevista" TargetMode="External"/><Relationship Id="rId14" Type="http://schemas.openxmlformats.org/officeDocument/2006/relationships/hyperlink" Target="http://www.uca.es/acceso/mayores-de-25/curso-prepar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Jose</dc:creator>
  <cp:lastModifiedBy>Uruario</cp:lastModifiedBy>
  <cp:revision>3</cp:revision>
  <dcterms:created xsi:type="dcterms:W3CDTF">2019-12-10T12:13:00Z</dcterms:created>
  <dcterms:modified xsi:type="dcterms:W3CDTF">2019-12-11T09:29:00Z</dcterms:modified>
</cp:coreProperties>
</file>