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EC4" w:rsidRPr="00DB4151" w:rsidRDefault="00953EAD" w:rsidP="00916473">
      <w:pPr>
        <w:pBdr>
          <w:top w:val="single" w:sz="4" w:space="1" w:color="auto"/>
          <w:left w:val="single" w:sz="4" w:space="4" w:color="auto"/>
          <w:bottom w:val="single" w:sz="4" w:space="1" w:color="auto"/>
          <w:right w:val="single" w:sz="4" w:space="4" w:color="auto"/>
        </w:pBdr>
        <w:shd w:val="clear" w:color="auto" w:fill="66FF99"/>
        <w:rPr>
          <w:sz w:val="28"/>
          <w:szCs w:val="28"/>
        </w:rPr>
      </w:pPr>
      <w:r w:rsidRPr="00DB4151">
        <w:rPr>
          <w:sz w:val="28"/>
          <w:szCs w:val="28"/>
        </w:rPr>
        <w:t>3. PREPARACIÓN DE PEDIDOS Y EXPEDICIÓN DE MERCANCÍAS</w:t>
      </w:r>
    </w:p>
    <w:p w:rsidR="00953EAD" w:rsidRDefault="00953EAD" w:rsidP="00916473">
      <w:pPr>
        <w:shd w:val="clear" w:color="auto" w:fill="B3FFCC"/>
      </w:pPr>
      <w:r>
        <w:t>3.1 ¿CÓMO COLOCAR LA MERCANCÍA?</w:t>
      </w:r>
    </w:p>
    <w:p w:rsidR="00953EAD" w:rsidRDefault="00953EAD">
      <w:r>
        <w:t>Al</w:t>
      </w:r>
      <w:r w:rsidRPr="00953EAD">
        <w:t xml:space="preserve"> agrupamiento de las mercancías pr</w:t>
      </w:r>
      <w:r>
        <w:t>o</w:t>
      </w:r>
      <w:r w:rsidRPr="00953EAD">
        <w:t xml:space="preserve">cedente de las diferentes zonas de </w:t>
      </w:r>
      <w:proofErr w:type="spellStart"/>
      <w:r w:rsidRPr="00953EAD">
        <w:t>picking</w:t>
      </w:r>
      <w:proofErr w:type="spellEnd"/>
      <w:r w:rsidRPr="00953EAD">
        <w:t xml:space="preserve"> según líneas de pedido y destinos</w:t>
      </w:r>
      <w:r>
        <w:t xml:space="preserve"> se le conoce con el nombre de CONSOLIDACIÓN DE LA MERCANCÍA.</w:t>
      </w:r>
    </w:p>
    <w:p w:rsidR="00953EAD" w:rsidRDefault="00953EAD" w:rsidP="00953EAD">
      <w:pPr>
        <w:jc w:val="both"/>
      </w:pPr>
      <w:r>
        <w:t>ESTA ACCIÓN SE DESARROLLA EN LA ZONA DE EXPEDICIÓN que está próxima al muelle de carga, y permite un ahorro importante de costes de transporte mediante el agrupamiento. Sin embargo, a su vez tiene un coste de manipulación elevado.</w:t>
      </w:r>
    </w:p>
    <w:p w:rsidR="00953EAD" w:rsidRDefault="00953EAD" w:rsidP="00916473">
      <w:pPr>
        <w:pStyle w:val="Prrafodelista"/>
        <w:numPr>
          <w:ilvl w:val="0"/>
          <w:numId w:val="1"/>
        </w:numPr>
        <w:shd w:val="clear" w:color="auto" w:fill="D0CECE" w:themeFill="background2" w:themeFillShade="E6"/>
        <w:rPr>
          <w:u w:val="single"/>
        </w:rPr>
      </w:pPr>
      <w:r w:rsidRPr="00953EAD">
        <w:rPr>
          <w:u w:val="single"/>
        </w:rPr>
        <w:t>FORMAS DE CONSOLIDACIÓN DE LA MERCANCÍA</w:t>
      </w:r>
    </w:p>
    <w:p w:rsidR="00953EAD" w:rsidRPr="00953EAD" w:rsidRDefault="00953EAD" w:rsidP="00953EAD">
      <w:r w:rsidRPr="00953EAD">
        <w:t xml:space="preserve">Existen dos formas básicas de consolidar la mercancía: </w:t>
      </w:r>
    </w:p>
    <w:p w:rsidR="00953EAD" w:rsidRPr="00953EAD" w:rsidRDefault="00953EAD" w:rsidP="00953EAD">
      <w:r w:rsidRPr="00953EAD">
        <w:t xml:space="preserve"> </w:t>
      </w:r>
      <w:r w:rsidRPr="00953EAD">
        <w:rPr>
          <w:b/>
          <w:bCs/>
        </w:rPr>
        <w:t>agrupación o consolidación por clientes:</w:t>
      </w:r>
      <w:r w:rsidRPr="00953EAD">
        <w:t xml:space="preserve"> consiste en agrupar los pedidos de un solo cliente en un único envío.</w:t>
      </w:r>
    </w:p>
    <w:p w:rsidR="00953EAD" w:rsidRPr="00953EAD" w:rsidRDefault="00953EAD" w:rsidP="00953EAD">
      <w:r w:rsidRPr="00953EAD">
        <w:t xml:space="preserve">Reunir varios pedidos de un solo cliente reducirá los costes de transporte, ya que al aumentar el tamaño del envío disminuirá el coste unitario de transporte de los productos. </w:t>
      </w:r>
    </w:p>
    <w:p w:rsidR="00953EAD" w:rsidRDefault="00953EAD" w:rsidP="00953EAD">
      <w:r w:rsidRPr="00953EAD">
        <w:t xml:space="preserve"> </w:t>
      </w:r>
      <w:r w:rsidRPr="00953EAD">
        <w:rPr>
          <w:b/>
          <w:bCs/>
        </w:rPr>
        <w:t>la agrupación o consolidación por destinos</w:t>
      </w:r>
      <w:r w:rsidRPr="00953EAD">
        <w:t>: consiste en agrupar la mercancía de distintos clientes que se encuentran en una única ruta de transporte.</w:t>
      </w:r>
    </w:p>
    <w:p w:rsidR="00953EAD" w:rsidRDefault="00953EAD" w:rsidP="00953EAD"/>
    <w:p w:rsidR="00953EAD" w:rsidRDefault="00953EAD" w:rsidP="00916473">
      <w:pPr>
        <w:pStyle w:val="Prrafodelista"/>
        <w:numPr>
          <w:ilvl w:val="0"/>
          <w:numId w:val="1"/>
        </w:numPr>
        <w:shd w:val="clear" w:color="auto" w:fill="D0CECE" w:themeFill="background2" w:themeFillShade="E6"/>
        <w:rPr>
          <w:u w:val="single"/>
        </w:rPr>
      </w:pPr>
      <w:r>
        <w:rPr>
          <w:u w:val="single"/>
        </w:rPr>
        <w:t xml:space="preserve">AGRUPACIÓN DE LA MERCANCIA </w:t>
      </w:r>
      <w:r w:rsidRPr="00953EAD">
        <w:rPr>
          <w:u w:val="single"/>
        </w:rPr>
        <w:t xml:space="preserve"> </w:t>
      </w:r>
    </w:p>
    <w:p w:rsidR="00916473" w:rsidRPr="00916473" w:rsidRDefault="00916473" w:rsidP="00916473">
      <w:pPr>
        <w:pStyle w:val="Prrafodelista"/>
        <w:jc w:val="both"/>
      </w:pPr>
    </w:p>
    <w:p w:rsidR="00953EAD" w:rsidRPr="00953EAD" w:rsidRDefault="00953EAD" w:rsidP="00953EAD">
      <w:pPr>
        <w:pStyle w:val="Prrafodelista"/>
        <w:numPr>
          <w:ilvl w:val="0"/>
          <w:numId w:val="3"/>
        </w:numPr>
        <w:jc w:val="both"/>
      </w:pPr>
      <w:r w:rsidRPr="00953EAD">
        <w:rPr>
          <w:b/>
          <w:bCs/>
        </w:rPr>
        <w:t>La UNITIZACIÓN</w:t>
      </w:r>
      <w:r w:rsidRPr="00953EAD">
        <w:t xml:space="preserve"> es la agrupación de los productos en unidades superiores de carga para facilitar el almacenaje y el transporte.</w:t>
      </w:r>
    </w:p>
    <w:p w:rsidR="00953EAD" w:rsidRDefault="00953EAD" w:rsidP="00953EAD">
      <w:pPr>
        <w:jc w:val="both"/>
      </w:pPr>
      <w:r w:rsidRPr="00953EAD">
        <w:t>La forma más utilizada en el almacén es el palé. El palé es una plataforma horizontal que se utilizar como base para apilar, manipular y transportar mercancías.</w:t>
      </w:r>
    </w:p>
    <w:p w:rsidR="00953EAD" w:rsidRPr="00953EAD" w:rsidRDefault="00953EAD" w:rsidP="00953EAD">
      <w:pPr>
        <w:pStyle w:val="Prrafodelista"/>
        <w:numPr>
          <w:ilvl w:val="0"/>
          <w:numId w:val="3"/>
        </w:numPr>
        <w:jc w:val="both"/>
      </w:pPr>
      <w:r w:rsidRPr="00953EAD">
        <w:rPr>
          <w:b/>
          <w:bCs/>
        </w:rPr>
        <w:t>La PALETIZACIÓN consiste en la agrupación de mercancías sobre una paleta</w:t>
      </w:r>
      <w:r w:rsidRPr="00953EAD">
        <w:t xml:space="preserve">, con el fin de poder mover una carga mayor y ahorrar costes. Podemos encontrar diferentes tipos de palés o paletas </w:t>
      </w:r>
    </w:p>
    <w:p w:rsidR="00953EAD" w:rsidRPr="00953EAD" w:rsidRDefault="00953EAD" w:rsidP="00953EAD">
      <w:pPr>
        <w:jc w:val="both"/>
      </w:pPr>
      <w:r w:rsidRPr="00953EAD">
        <w:rPr>
          <w:noProof/>
        </w:rPr>
        <w:drawing>
          <wp:inline distT="0" distB="0" distL="0" distR="0" wp14:anchorId="1E1CF224" wp14:editId="57821968">
            <wp:extent cx="5354320" cy="9747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4320" cy="974725"/>
                    </a:xfrm>
                    <a:prstGeom prst="rect">
                      <a:avLst/>
                    </a:prstGeom>
                    <a:noFill/>
                    <a:ln>
                      <a:noFill/>
                    </a:ln>
                  </pic:spPr>
                </pic:pic>
              </a:graphicData>
            </a:graphic>
          </wp:inline>
        </w:drawing>
      </w:r>
    </w:p>
    <w:p w:rsidR="00953EAD" w:rsidRPr="00953EAD" w:rsidRDefault="00953EAD" w:rsidP="00953EAD">
      <w:pPr>
        <w:jc w:val="both"/>
      </w:pPr>
    </w:p>
    <w:p w:rsidR="00953EAD" w:rsidRPr="00953EAD" w:rsidRDefault="00953EAD" w:rsidP="00953EAD">
      <w:pPr>
        <w:jc w:val="both"/>
      </w:pPr>
      <w:r w:rsidRPr="00953EAD">
        <w:t>Lo más habitual es que estén hechos de madera, aunque también podemos encontrarlos de otros materiales como plástico, cartón o metal.</w:t>
      </w:r>
    </w:p>
    <w:p w:rsidR="00953EAD" w:rsidRPr="00953EAD" w:rsidRDefault="00953EAD" w:rsidP="00953EAD">
      <w:pPr>
        <w:jc w:val="both"/>
      </w:pPr>
      <w:r w:rsidRPr="00953EAD">
        <w:t>Las dimensiones más comunes son:</w:t>
      </w:r>
    </w:p>
    <w:p w:rsidR="00953EAD" w:rsidRPr="00953EAD" w:rsidRDefault="00953EAD" w:rsidP="00953EAD">
      <w:pPr>
        <w:jc w:val="both"/>
      </w:pPr>
      <w:r w:rsidRPr="00953EAD">
        <w:lastRenderedPageBreak/>
        <w:t xml:space="preserve">Palé europeo o </w:t>
      </w:r>
      <w:proofErr w:type="spellStart"/>
      <w:r w:rsidRPr="00953EAD">
        <w:t>europalé</w:t>
      </w:r>
      <w:proofErr w:type="spellEnd"/>
      <w:r w:rsidRPr="00953EAD">
        <w:t xml:space="preserve">: 800 x 1200 </w:t>
      </w:r>
      <w:proofErr w:type="spellStart"/>
      <w:r w:rsidRPr="00953EAD">
        <w:t>mm.</w:t>
      </w:r>
      <w:proofErr w:type="spellEnd"/>
      <w:r w:rsidRPr="00953EAD">
        <w:t xml:space="preserve"> La carga máxima del </w:t>
      </w:r>
      <w:proofErr w:type="spellStart"/>
      <w:r w:rsidRPr="00953EAD">
        <w:t>europalé</w:t>
      </w:r>
      <w:proofErr w:type="spellEnd"/>
      <w:r w:rsidRPr="00953EAD">
        <w:t xml:space="preserve"> se limita a 1000 kg</w:t>
      </w:r>
    </w:p>
    <w:p w:rsidR="00953EAD" w:rsidRPr="00953EAD" w:rsidRDefault="00953EAD" w:rsidP="00953EAD">
      <w:pPr>
        <w:jc w:val="both"/>
      </w:pPr>
      <w:r w:rsidRPr="00953EAD">
        <w:t xml:space="preserve">Palé universal o </w:t>
      </w:r>
      <w:proofErr w:type="spellStart"/>
      <w:r w:rsidRPr="00953EAD">
        <w:t>isopalé</w:t>
      </w:r>
      <w:proofErr w:type="spellEnd"/>
      <w:r w:rsidRPr="00953EAD">
        <w:t>: 1000 x 12000 mm</w:t>
      </w:r>
    </w:p>
    <w:p w:rsidR="00953EAD" w:rsidRDefault="00953EAD" w:rsidP="00953EAD">
      <w:pPr>
        <w:jc w:val="both"/>
        <w:rPr>
          <w:b/>
          <w:bCs/>
          <w:u w:val="single"/>
        </w:rPr>
      </w:pPr>
      <w:r w:rsidRPr="00953EAD">
        <w:rPr>
          <w:b/>
          <w:bCs/>
          <w:u w:val="single"/>
        </w:rPr>
        <w:t xml:space="preserve">RECOMENDACIONES PARA UNA BUENA PALETIZACIÓN </w:t>
      </w:r>
    </w:p>
    <w:p w:rsidR="00953EAD" w:rsidRPr="00953EAD" w:rsidRDefault="00953EAD" w:rsidP="00953EAD">
      <w:pPr>
        <w:pStyle w:val="Prrafodelista"/>
        <w:numPr>
          <w:ilvl w:val="0"/>
          <w:numId w:val="2"/>
        </w:numPr>
        <w:jc w:val="both"/>
        <w:rPr>
          <w:b/>
          <w:bCs/>
          <w:u w:val="single"/>
        </w:rPr>
      </w:pPr>
      <w:r w:rsidRPr="00953EAD">
        <w:t xml:space="preserve">Apilar cuidadosamente la mercancía en la paleta, procurando una unidad de carga adecuadas. </w:t>
      </w:r>
    </w:p>
    <w:p w:rsidR="00953EAD" w:rsidRDefault="00953EAD" w:rsidP="00953EAD">
      <w:pPr>
        <w:pStyle w:val="Prrafodelista"/>
        <w:numPr>
          <w:ilvl w:val="0"/>
          <w:numId w:val="2"/>
        </w:numPr>
        <w:jc w:val="both"/>
      </w:pPr>
      <w:r w:rsidRPr="00953EAD">
        <w:t>colocar una copa sobre otra intentando cruzar las cargas, para formar así estructura rígida.</w:t>
      </w:r>
    </w:p>
    <w:p w:rsidR="00953EAD" w:rsidRPr="00953EAD" w:rsidRDefault="00953EAD" w:rsidP="00953EAD">
      <w:pPr>
        <w:pStyle w:val="Prrafodelista"/>
        <w:numPr>
          <w:ilvl w:val="0"/>
          <w:numId w:val="2"/>
        </w:numPr>
        <w:jc w:val="both"/>
      </w:pPr>
      <w:r w:rsidRPr="00953EAD">
        <w:t xml:space="preserve"> evitar que la mercancía sobresalga de la paleta</w:t>
      </w:r>
    </w:p>
    <w:p w:rsidR="00953EAD" w:rsidRPr="00953EAD" w:rsidRDefault="00953EAD" w:rsidP="00953EAD">
      <w:pPr>
        <w:pStyle w:val="Prrafodelista"/>
        <w:numPr>
          <w:ilvl w:val="0"/>
          <w:numId w:val="2"/>
        </w:numPr>
        <w:jc w:val="both"/>
      </w:pPr>
      <w:r w:rsidRPr="00953EAD">
        <w:t>intentar aprovechar toda la superficie.</w:t>
      </w:r>
    </w:p>
    <w:p w:rsidR="00953EAD" w:rsidRPr="00953EAD" w:rsidRDefault="00953EAD" w:rsidP="00953EAD">
      <w:pPr>
        <w:pStyle w:val="Prrafodelista"/>
        <w:numPr>
          <w:ilvl w:val="0"/>
          <w:numId w:val="2"/>
        </w:numPr>
        <w:jc w:val="both"/>
      </w:pPr>
      <w:r w:rsidRPr="00953EAD">
        <w:t>disponer la carga de manera que se facilite el desmontado del palé.</w:t>
      </w:r>
    </w:p>
    <w:p w:rsidR="00953EAD" w:rsidRDefault="00953EAD" w:rsidP="00953EAD">
      <w:pPr>
        <w:pStyle w:val="Prrafodelista"/>
        <w:numPr>
          <w:ilvl w:val="0"/>
          <w:numId w:val="2"/>
        </w:numPr>
        <w:jc w:val="both"/>
      </w:pPr>
      <w:r w:rsidRPr="00953EAD">
        <w:t>lograr la rigidez mediante el</w:t>
      </w:r>
      <w:r w:rsidRPr="00953EAD">
        <w:rPr>
          <w:b/>
          <w:bCs/>
        </w:rPr>
        <w:t xml:space="preserve"> retractilado</w:t>
      </w:r>
      <w:r w:rsidRPr="00953EAD">
        <w:t xml:space="preserve">, que es el procedimiento de envolver toda la mercancía con un film de plástico. </w:t>
      </w:r>
    </w:p>
    <w:p w:rsidR="00953EAD" w:rsidRPr="00953EAD" w:rsidRDefault="00953EAD" w:rsidP="00953EAD">
      <w:pPr>
        <w:pStyle w:val="Prrafodelista"/>
        <w:numPr>
          <w:ilvl w:val="0"/>
          <w:numId w:val="2"/>
        </w:numPr>
        <w:jc w:val="both"/>
      </w:pPr>
      <w:r w:rsidRPr="00953EAD">
        <w:t xml:space="preserve">Maximizar todo lo posible la estabilidad. Sistemas como </w:t>
      </w:r>
      <w:r w:rsidRPr="00953EAD">
        <w:rPr>
          <w:b/>
          <w:bCs/>
        </w:rPr>
        <w:t>el flejado</w:t>
      </w:r>
      <w:r w:rsidRPr="00953EAD">
        <w:t xml:space="preserve"> con banda con goma, acero o nailon alrededor de la carga en los lugares apropiados.</w:t>
      </w:r>
    </w:p>
    <w:p w:rsidR="00953EAD" w:rsidRPr="00953EAD" w:rsidRDefault="00953EAD" w:rsidP="00953EAD">
      <w:pPr>
        <w:jc w:val="both"/>
      </w:pPr>
      <w:r w:rsidRPr="00953EAD">
        <w:rPr>
          <w:noProof/>
        </w:rPr>
        <mc:AlternateContent>
          <mc:Choice Requires="wps">
            <w:drawing>
              <wp:anchor distT="0" distB="0" distL="114300" distR="114300" simplePos="0" relativeHeight="251659264" behindDoc="0" locked="0" layoutInCell="1" allowOverlap="1" wp14:anchorId="792BAFBE" wp14:editId="1C01F719">
                <wp:simplePos x="0" y="0"/>
                <wp:positionH relativeFrom="column">
                  <wp:posOffset>945342</wp:posOffset>
                </wp:positionH>
                <wp:positionV relativeFrom="paragraph">
                  <wp:posOffset>2966143</wp:posOffset>
                </wp:positionV>
                <wp:extent cx="962526" cy="1010653"/>
                <wp:effectExtent l="0" t="0" r="66675" b="94615"/>
                <wp:wrapNone/>
                <wp:docPr id="5" name="Conector: angular 5"/>
                <wp:cNvGraphicFramePr/>
                <a:graphic xmlns:a="http://schemas.openxmlformats.org/drawingml/2006/main">
                  <a:graphicData uri="http://schemas.microsoft.com/office/word/2010/wordprocessingShape">
                    <wps:wsp>
                      <wps:cNvCnPr/>
                      <wps:spPr>
                        <a:xfrm>
                          <a:off x="0" y="0"/>
                          <a:ext cx="962526" cy="1010653"/>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0B5A5F5"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5" o:spid="_x0000_s1026" type="#_x0000_t34" style="position:absolute;margin-left:74.45pt;margin-top:233.55pt;width:75.8pt;height:79.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" strokecolor="#4472c4 [3204]" strokeweight=".5pt">
                <v:stroke endarrow="block"/>
              </v:shape>
            </w:pict>
          </mc:Fallback>
        </mc:AlternateContent>
      </w:r>
      <w:r w:rsidRPr="00953EAD">
        <w:rPr>
          <w:noProof/>
        </w:rPr>
        <w:drawing>
          <wp:inline distT="0" distB="0" distL="0" distR="0" wp14:anchorId="1271434A" wp14:editId="1E2F331E">
            <wp:extent cx="4836695" cy="3755156"/>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6864" cy="3763051"/>
                    </a:xfrm>
                    <a:prstGeom prst="rect">
                      <a:avLst/>
                    </a:prstGeom>
                    <a:noFill/>
                    <a:ln>
                      <a:noFill/>
                    </a:ln>
                  </pic:spPr>
                </pic:pic>
              </a:graphicData>
            </a:graphic>
          </wp:inline>
        </w:drawing>
      </w:r>
    </w:p>
    <w:p w:rsidR="00953EAD" w:rsidRPr="00953EAD" w:rsidRDefault="00953EAD" w:rsidP="00953EAD">
      <w:pPr>
        <w:jc w:val="both"/>
      </w:pPr>
      <w:r w:rsidRPr="00953EAD">
        <w:t xml:space="preserve">                                                     FLEJADO: Poner los flejes (cintas)</w:t>
      </w:r>
    </w:p>
    <w:p w:rsidR="00953EAD" w:rsidRDefault="00953EAD" w:rsidP="00953EAD">
      <w:pPr>
        <w:jc w:val="both"/>
      </w:pPr>
      <w:r w:rsidRPr="00953EAD">
        <w:t xml:space="preserve">Para realizar el proceso contamos con las denominadas: </w:t>
      </w:r>
      <w:r w:rsidRPr="00953EAD">
        <w:rPr>
          <w:b/>
          <w:bCs/>
        </w:rPr>
        <w:t>retractiladoras y flejadoras</w:t>
      </w:r>
      <w:r w:rsidRPr="00953EAD">
        <w:t>.</w:t>
      </w:r>
    </w:p>
    <w:p w:rsidR="00916473" w:rsidRDefault="00916473" w:rsidP="00953EAD">
      <w:pPr>
        <w:jc w:val="both"/>
      </w:pPr>
    </w:p>
    <w:p w:rsidR="00916473" w:rsidRDefault="00916473" w:rsidP="00953EAD">
      <w:pPr>
        <w:jc w:val="both"/>
      </w:pPr>
    </w:p>
    <w:p w:rsidR="00916473" w:rsidRDefault="00916473" w:rsidP="00953EAD">
      <w:pPr>
        <w:jc w:val="both"/>
      </w:pPr>
    </w:p>
    <w:p w:rsidR="00916473" w:rsidRPr="00953EAD" w:rsidRDefault="00916473" w:rsidP="00953EAD">
      <w:pPr>
        <w:jc w:val="both"/>
      </w:pPr>
    </w:p>
    <w:p w:rsidR="00953EAD" w:rsidRDefault="00953EAD" w:rsidP="00953EAD">
      <w:pPr>
        <w:jc w:val="both"/>
      </w:pPr>
    </w:p>
    <w:p w:rsidR="00916473" w:rsidRDefault="00916473" w:rsidP="00916473">
      <w:pPr>
        <w:pStyle w:val="Prrafodelista"/>
        <w:numPr>
          <w:ilvl w:val="0"/>
          <w:numId w:val="3"/>
        </w:numPr>
      </w:pPr>
      <w:r w:rsidRPr="00916473">
        <w:rPr>
          <w:b/>
          <w:bCs/>
        </w:rPr>
        <w:t>La CONTENEDORIZACIÓN</w:t>
      </w:r>
      <w:r>
        <w:t xml:space="preserve"> es </w:t>
      </w:r>
      <w:r w:rsidRPr="00916473">
        <w:t xml:space="preserve">la agrupación de la mercancía en un contenedor. </w:t>
      </w:r>
    </w:p>
    <w:p w:rsidR="00916473" w:rsidRDefault="00916473" w:rsidP="00916473">
      <w:pPr>
        <w:jc w:val="both"/>
      </w:pPr>
      <w:r w:rsidRPr="00916473">
        <w:t>El CONTENEDOR es una caja metálica que permite el transporte de cantidades de mercancías sin que se produzca ruptura en la unidad de carga. Es decir, si la unidad de carga es el palé, meto el palé en el contenedor.</w:t>
      </w:r>
    </w:p>
    <w:p w:rsidR="00916473" w:rsidRPr="00916473" w:rsidRDefault="00916473" w:rsidP="00916473">
      <w:pPr>
        <w:jc w:val="both"/>
      </w:pPr>
      <w:r w:rsidRPr="00916473">
        <w:t>Para que todos los países trabajen de la misma manera se define unas dimensiones estándar de estos contenedores y existen dos organismos que se encargan de su normalización:</w:t>
      </w:r>
    </w:p>
    <w:p w:rsidR="00916473" w:rsidRPr="00916473" w:rsidRDefault="00916473" w:rsidP="00916473">
      <w:pPr>
        <w:jc w:val="both"/>
        <w:rPr>
          <w:b/>
          <w:bCs/>
        </w:rPr>
      </w:pPr>
      <w:r w:rsidRPr="00916473">
        <w:rPr>
          <w:b/>
          <w:bCs/>
        </w:rPr>
        <w:t>- ISO: se ocupa de la regulación a nivel internacional de los contenedores que se utilizan en el transporte terrestre y marítimo.</w:t>
      </w:r>
    </w:p>
    <w:p w:rsidR="00916473" w:rsidRPr="00916473" w:rsidRDefault="00916473" w:rsidP="00916473">
      <w:pPr>
        <w:jc w:val="both"/>
      </w:pPr>
      <w:r w:rsidRPr="00916473">
        <w:t xml:space="preserve">Las medidas de los contenedores en el transporte marítimo y terrestre son de 20 pies o </w:t>
      </w:r>
      <w:r w:rsidRPr="00916473">
        <w:rPr>
          <w:b/>
          <w:bCs/>
        </w:rPr>
        <w:t>TEU</w:t>
      </w:r>
      <w:r w:rsidRPr="00916473">
        <w:t xml:space="preserve"> (</w:t>
      </w:r>
      <w:proofErr w:type="spellStart"/>
      <w:r w:rsidRPr="00916473">
        <w:t>Twenty-foot</w:t>
      </w:r>
      <w:proofErr w:type="spellEnd"/>
      <w:r w:rsidRPr="00916473">
        <w:t xml:space="preserve"> </w:t>
      </w:r>
      <w:proofErr w:type="spellStart"/>
      <w:r w:rsidRPr="00916473">
        <w:t>equivalent</w:t>
      </w:r>
      <w:proofErr w:type="spellEnd"/>
      <w:r w:rsidRPr="00916473">
        <w:t xml:space="preserve"> </w:t>
      </w:r>
      <w:proofErr w:type="spellStart"/>
      <w:r w:rsidRPr="00916473">
        <w:t>unit</w:t>
      </w:r>
      <w:proofErr w:type="spellEnd"/>
      <w:r w:rsidRPr="00916473">
        <w:t xml:space="preserve">) y los 40 pies o </w:t>
      </w:r>
      <w:r w:rsidRPr="00916473">
        <w:rPr>
          <w:b/>
          <w:bCs/>
        </w:rPr>
        <w:t>FEU</w:t>
      </w:r>
      <w:r w:rsidRPr="00916473">
        <w:t xml:space="preserve"> (</w:t>
      </w:r>
      <w:proofErr w:type="spellStart"/>
      <w:r w:rsidRPr="00916473">
        <w:t>Forty-foot</w:t>
      </w:r>
      <w:proofErr w:type="spellEnd"/>
      <w:r w:rsidRPr="00916473">
        <w:t xml:space="preserve"> </w:t>
      </w:r>
      <w:proofErr w:type="spellStart"/>
      <w:r w:rsidRPr="00916473">
        <w:t>equivalent</w:t>
      </w:r>
      <w:proofErr w:type="spellEnd"/>
      <w:r w:rsidRPr="00916473">
        <w:t xml:space="preserve"> </w:t>
      </w:r>
      <w:proofErr w:type="spellStart"/>
      <w:r w:rsidRPr="00916473">
        <w:t>unit</w:t>
      </w:r>
      <w:proofErr w:type="spellEnd"/>
      <w:r w:rsidRPr="00916473">
        <w:t>).</w:t>
      </w:r>
    </w:p>
    <w:p w:rsidR="00916473" w:rsidRPr="00916473" w:rsidRDefault="00916473" w:rsidP="00916473">
      <w:pPr>
        <w:jc w:val="both"/>
        <w:rPr>
          <w:b/>
          <w:bCs/>
        </w:rPr>
      </w:pPr>
      <w:r w:rsidRPr="00916473">
        <w:rPr>
          <w:b/>
          <w:bCs/>
        </w:rPr>
        <w:t xml:space="preserve">- IATA: regula a nivel internacional los contenedores de transporte aéreo. Los contenedores aéreos se adaptan a las mediada del avión que los transporta. </w:t>
      </w:r>
    </w:p>
    <w:p w:rsidR="00916473" w:rsidRPr="00916473" w:rsidRDefault="00916473" w:rsidP="00916473">
      <w:pPr>
        <w:jc w:val="both"/>
      </w:pPr>
      <w:r w:rsidRPr="00916473">
        <w:t xml:space="preserve">Aunque esto no es importante vamos las medidas internas de los contenedores </w:t>
      </w:r>
    </w:p>
    <w:p w:rsidR="00916473" w:rsidRPr="00916473" w:rsidRDefault="00916473" w:rsidP="00916473">
      <w:pPr>
        <w:jc w:val="both"/>
      </w:pPr>
    </w:p>
    <w:p w:rsidR="00916473" w:rsidRPr="00916473" w:rsidRDefault="00916473" w:rsidP="00916473">
      <w:pPr>
        <w:jc w:val="both"/>
      </w:pPr>
      <w:r w:rsidRPr="00916473">
        <w:rPr>
          <w:noProof/>
        </w:rPr>
        <w:drawing>
          <wp:inline distT="0" distB="0" distL="0" distR="0" wp14:anchorId="3D3DF903" wp14:editId="0D86CF1F">
            <wp:extent cx="5642811" cy="2418206"/>
            <wp:effectExtent l="0" t="0" r="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1448" cy="2439049"/>
                    </a:xfrm>
                    <a:prstGeom prst="rect">
                      <a:avLst/>
                    </a:prstGeom>
                    <a:noFill/>
                    <a:ln>
                      <a:noFill/>
                    </a:ln>
                  </pic:spPr>
                </pic:pic>
              </a:graphicData>
            </a:graphic>
          </wp:inline>
        </w:drawing>
      </w:r>
    </w:p>
    <w:p w:rsidR="00916473" w:rsidRPr="00916473" w:rsidRDefault="00916473" w:rsidP="00916473">
      <w:pPr>
        <w:jc w:val="both"/>
      </w:pPr>
    </w:p>
    <w:p w:rsidR="00916473" w:rsidRPr="00916473" w:rsidRDefault="00916473" w:rsidP="00916473">
      <w:pPr>
        <w:jc w:val="both"/>
      </w:pPr>
    </w:p>
    <w:p w:rsidR="00916473" w:rsidRDefault="00916473" w:rsidP="00916473">
      <w:pPr>
        <w:jc w:val="both"/>
      </w:pPr>
    </w:p>
    <w:p w:rsidR="00916473" w:rsidRDefault="00916473" w:rsidP="00916473">
      <w:pPr>
        <w:jc w:val="both"/>
      </w:pPr>
    </w:p>
    <w:p w:rsidR="00916473" w:rsidRDefault="00916473" w:rsidP="00916473">
      <w:pPr>
        <w:jc w:val="both"/>
      </w:pPr>
    </w:p>
    <w:p w:rsidR="00916473" w:rsidRDefault="00916473" w:rsidP="00916473">
      <w:pPr>
        <w:jc w:val="both"/>
      </w:pPr>
    </w:p>
    <w:p w:rsidR="00916473" w:rsidRDefault="00916473" w:rsidP="00916473">
      <w:pPr>
        <w:jc w:val="both"/>
      </w:pPr>
    </w:p>
    <w:p w:rsidR="00916473" w:rsidRDefault="00916473" w:rsidP="00916473">
      <w:pPr>
        <w:jc w:val="both"/>
      </w:pPr>
      <w:r>
        <w:lastRenderedPageBreak/>
        <w:t xml:space="preserve">PRÁCTICA EJEMPLO </w:t>
      </w:r>
    </w:p>
    <w:p w:rsidR="00916473" w:rsidRPr="00916473" w:rsidRDefault="00916473" w:rsidP="00916473">
      <w:pPr>
        <w:jc w:val="center"/>
      </w:pPr>
      <w:bookmarkStart w:id="0" w:name="_GoBack"/>
      <w:r>
        <w:rPr>
          <w:noProof/>
        </w:rPr>
        <w:drawing>
          <wp:inline distT="0" distB="0" distL="0" distR="0" wp14:anchorId="2EDE913B" wp14:editId="2B7652F6">
            <wp:extent cx="4581427" cy="5157920"/>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3670" cy="5160446"/>
                    </a:xfrm>
                    <a:prstGeom prst="rect">
                      <a:avLst/>
                    </a:prstGeom>
                    <a:noFill/>
                  </pic:spPr>
                </pic:pic>
              </a:graphicData>
            </a:graphic>
          </wp:inline>
        </w:drawing>
      </w:r>
    </w:p>
    <w:bookmarkEnd w:id="0"/>
    <w:p w:rsidR="00916473" w:rsidRDefault="00916473" w:rsidP="00916473">
      <w:pPr>
        <w:jc w:val="both"/>
      </w:pPr>
    </w:p>
    <w:p w:rsidR="00953EAD" w:rsidRDefault="00916473" w:rsidP="00953EAD">
      <w:pPr>
        <w:jc w:val="both"/>
      </w:pPr>
      <w:r w:rsidRPr="00DB4151">
        <w:rPr>
          <w:highlight w:val="yellow"/>
        </w:rPr>
        <w:t>ACTIVIDAD 1c</w:t>
      </w:r>
    </w:p>
    <w:p w:rsidR="00916473" w:rsidRDefault="00916473" w:rsidP="00916473">
      <w:pPr>
        <w:jc w:val="both"/>
      </w:pPr>
      <w:r w:rsidRPr="00DB4151">
        <w:rPr>
          <w:highlight w:val="yellow"/>
        </w:rPr>
        <w:t>1.1</w:t>
      </w:r>
      <w:r>
        <w:t xml:space="preserve"> La mercancía vista en el Caso práctico 3 se transportará en un camión. Las dimensiones de la caja del mismo son 13,3 m de largo, 2,55 m de ancho y 2,80 m de alto. ¿Qué número de cajas podrían ir en el camión?</w:t>
      </w:r>
    </w:p>
    <w:p w:rsidR="00916473" w:rsidRDefault="00916473" w:rsidP="00916473">
      <w:pPr>
        <w:jc w:val="both"/>
      </w:pPr>
    </w:p>
    <w:p w:rsidR="00916473" w:rsidRPr="00953EAD" w:rsidRDefault="00916473" w:rsidP="00916473">
      <w:pPr>
        <w:jc w:val="both"/>
      </w:pPr>
      <w:r w:rsidRPr="00DB4151">
        <w:rPr>
          <w:highlight w:val="yellow"/>
        </w:rPr>
        <w:t>1.2</w:t>
      </w:r>
      <w:r>
        <w:t xml:space="preserve"> La empresa </w:t>
      </w:r>
      <w:proofErr w:type="spellStart"/>
      <w:r>
        <w:t>Todogrés</w:t>
      </w:r>
      <w:proofErr w:type="spellEnd"/>
      <w:r>
        <w:t xml:space="preserve"> quiere realizar un envío de azulejos a un cliente de la Línea de la Concepción. Las dimensiones de la caja en la que se colocan los azulejos son de 32 cm de largo, 44.4 cm de ancho y 10.4 cm de alto. La altura máxima permitida del palé son 135 cm ¿cuántas cajas podrá colocar en un EUROPALÉ? (dimensiones en el caso ejemplo)</w:t>
      </w:r>
    </w:p>
    <w:p w:rsidR="00953EAD" w:rsidRPr="00953EAD" w:rsidRDefault="00953EAD" w:rsidP="00953EAD"/>
    <w:sectPr w:rsidR="00953EAD" w:rsidRPr="00953EAD">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B7E" w:rsidRDefault="00EF1B7E" w:rsidP="00953EAD">
      <w:pPr>
        <w:spacing w:after="0" w:line="240" w:lineRule="auto"/>
      </w:pPr>
      <w:r>
        <w:separator/>
      </w:r>
    </w:p>
  </w:endnote>
  <w:endnote w:type="continuationSeparator" w:id="0">
    <w:p w:rsidR="00EF1B7E" w:rsidRDefault="00EF1B7E" w:rsidP="0095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B7E" w:rsidRDefault="00EF1B7E" w:rsidP="00953EAD">
      <w:pPr>
        <w:spacing w:after="0" w:line="240" w:lineRule="auto"/>
      </w:pPr>
      <w:r>
        <w:separator/>
      </w:r>
    </w:p>
  </w:footnote>
  <w:footnote w:type="continuationSeparator" w:id="0">
    <w:p w:rsidR="00EF1B7E" w:rsidRDefault="00EF1B7E" w:rsidP="0095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EAD" w:rsidRPr="00953EAD" w:rsidRDefault="00953EAD">
    <w:pPr>
      <w:pStyle w:val="Encabezado"/>
      <w:rPr>
        <w:color w:val="767171" w:themeColor="background2" w:themeShade="80"/>
      </w:rPr>
    </w:pPr>
    <w:r w:rsidRPr="00953EAD">
      <w:rPr>
        <w:color w:val="767171" w:themeColor="background2" w:themeShade="80"/>
      </w:rPr>
      <w:t>RA3 c) se ha optimizado la colocación de mercancías en las unidades de carga, minimizando huecos y asegurando la estiba de las misma</w:t>
    </w:r>
  </w:p>
  <w:p w:rsidR="00953EAD" w:rsidRDefault="00953E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D5477"/>
    <w:multiLevelType w:val="hybridMultilevel"/>
    <w:tmpl w:val="4C720B56"/>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661713B"/>
    <w:multiLevelType w:val="hybridMultilevel"/>
    <w:tmpl w:val="6FEC44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BBB05F6"/>
    <w:multiLevelType w:val="hybridMultilevel"/>
    <w:tmpl w:val="7DACC59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EAD"/>
    <w:rsid w:val="00681EC4"/>
    <w:rsid w:val="0091127A"/>
    <w:rsid w:val="00916473"/>
    <w:rsid w:val="00953EAD"/>
    <w:rsid w:val="00DB4151"/>
    <w:rsid w:val="00EF1B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E4D72-7865-4C10-9D41-A2EACEEA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Theme="minorHAnsi" w:hAnsi="Franklin Gothic Book"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3EAD"/>
    <w:pPr>
      <w:ind w:left="720"/>
      <w:contextualSpacing/>
    </w:pPr>
  </w:style>
  <w:style w:type="paragraph" w:styleId="Encabezado">
    <w:name w:val="header"/>
    <w:basedOn w:val="Normal"/>
    <w:link w:val="EncabezadoCar"/>
    <w:uiPriority w:val="99"/>
    <w:unhideWhenUsed/>
    <w:rsid w:val="00953E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3EAD"/>
  </w:style>
  <w:style w:type="paragraph" w:styleId="Piedepgina">
    <w:name w:val="footer"/>
    <w:basedOn w:val="Normal"/>
    <w:link w:val="PiedepginaCar"/>
    <w:uiPriority w:val="99"/>
    <w:unhideWhenUsed/>
    <w:rsid w:val="00953E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3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659</Words>
  <Characters>3625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 NUEVO</dc:creator>
  <cp:keywords/>
  <dc:description/>
  <cp:lastModifiedBy>COMO NUEVO</cp:lastModifiedBy>
  <cp:revision>2</cp:revision>
  <cp:lastPrinted>2020-04-22T10:14:00Z</cp:lastPrinted>
  <dcterms:created xsi:type="dcterms:W3CDTF">2020-04-22T08:14:00Z</dcterms:created>
  <dcterms:modified xsi:type="dcterms:W3CDTF">2020-04-22T10:15:00Z</dcterms:modified>
</cp:coreProperties>
</file>