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AE" w:rsidRDefault="005A30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0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410"/>
        <w:gridCol w:w="1395"/>
        <w:gridCol w:w="1290"/>
        <w:gridCol w:w="1110"/>
        <w:gridCol w:w="1620"/>
      </w:tblGrid>
      <w:tr w:rsidR="005A30AE">
        <w:trPr>
          <w:trHeight w:val="375"/>
        </w:trPr>
        <w:tc>
          <w:tcPr>
            <w:tcW w:w="1815" w:type="dxa"/>
          </w:tcPr>
          <w:p w:rsidR="005A30AE" w:rsidRDefault="00844913">
            <w:r>
              <w:t>CONTENIDOS DE INTERCULTURIDAD</w:t>
            </w:r>
          </w:p>
        </w:tc>
        <w:tc>
          <w:tcPr>
            <w:tcW w:w="1410" w:type="dxa"/>
          </w:tcPr>
          <w:p w:rsidR="005A30AE" w:rsidRDefault="00844913">
            <w:r>
              <w:t>OCTUBRE-NOVIEMBRE</w:t>
            </w:r>
          </w:p>
        </w:tc>
        <w:tc>
          <w:tcPr>
            <w:tcW w:w="1395" w:type="dxa"/>
          </w:tcPr>
          <w:p w:rsidR="005A30AE" w:rsidRDefault="00844913">
            <w:r>
              <w:t>DICIEMBRE-ENERO</w:t>
            </w:r>
          </w:p>
        </w:tc>
        <w:tc>
          <w:tcPr>
            <w:tcW w:w="1290" w:type="dxa"/>
          </w:tcPr>
          <w:p w:rsidR="005A30AE" w:rsidRDefault="00844913">
            <w:r>
              <w:t>FEBRERO- MARZO</w:t>
            </w:r>
          </w:p>
        </w:tc>
        <w:tc>
          <w:tcPr>
            <w:tcW w:w="1110" w:type="dxa"/>
          </w:tcPr>
          <w:p w:rsidR="005A30AE" w:rsidRDefault="00844913">
            <w:r>
              <w:t>ABRIL-MAYO</w:t>
            </w:r>
          </w:p>
        </w:tc>
        <w:tc>
          <w:tcPr>
            <w:tcW w:w="1620" w:type="dxa"/>
          </w:tcPr>
          <w:p w:rsidR="005A30AE" w:rsidRDefault="00844913">
            <w:r>
              <w:t>JUNIO</w:t>
            </w:r>
          </w:p>
        </w:tc>
      </w:tr>
      <w:tr w:rsidR="005A30AE">
        <w:tc>
          <w:tcPr>
            <w:tcW w:w="1815" w:type="dxa"/>
          </w:tcPr>
          <w:p w:rsidR="005A30AE" w:rsidRDefault="00844913">
            <w:r>
              <w:t>Compresión de la propia cultura.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  <w:tr w:rsidR="005A30AE">
        <w:tc>
          <w:tcPr>
            <w:tcW w:w="1815" w:type="dxa"/>
          </w:tcPr>
          <w:p w:rsidR="005A30AE" w:rsidRDefault="00844913">
            <w:r>
              <w:t>Toma de conciencia de la validez de visiones culturales diferentes a la propia( diversidad de personas y de grupos)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  <w:tr w:rsidR="005A30AE">
        <w:tc>
          <w:tcPr>
            <w:tcW w:w="1815" w:type="dxa"/>
          </w:tcPr>
          <w:p w:rsidR="005A30AE" w:rsidRDefault="00844913">
            <w:r>
              <w:t>Identificación de pautas comunicativas y conductas que provocan discriminación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  <w:tr w:rsidR="005A30AE">
        <w:tc>
          <w:tcPr>
            <w:tcW w:w="1815" w:type="dxa"/>
          </w:tcPr>
          <w:p w:rsidR="005A30AE" w:rsidRDefault="00844913">
            <w:r>
              <w:t>Resolución pacífica de conflictos. Habilidades para mantener relaciones interculturales eficaces.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  <w:tr w:rsidR="005A30AE">
        <w:tc>
          <w:tcPr>
            <w:tcW w:w="1815" w:type="dxa"/>
          </w:tcPr>
          <w:p w:rsidR="005A30AE" w:rsidRDefault="00844913">
            <w:r>
              <w:t>Abordaje de cuestiones de desigualdad, prejuicio y abuso de poder. Etiquetas…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  <w:tr w:rsidR="005A30AE">
        <w:tc>
          <w:tcPr>
            <w:tcW w:w="1815" w:type="dxa"/>
          </w:tcPr>
          <w:p w:rsidR="005A30AE" w:rsidRDefault="00844913">
            <w:r>
              <w:t>Tener en cuenta tipos de agrupamientos.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  <w:tr w:rsidR="005A30AE">
        <w:tc>
          <w:tcPr>
            <w:tcW w:w="1815" w:type="dxa"/>
          </w:tcPr>
          <w:p w:rsidR="005A30AE" w:rsidRDefault="00844913">
            <w:r>
              <w:t>Enfoque de Derechos humanos.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  <w:tr w:rsidR="005A30AE">
        <w:tc>
          <w:tcPr>
            <w:tcW w:w="1815" w:type="dxa"/>
          </w:tcPr>
          <w:p w:rsidR="005A30AE" w:rsidRDefault="00844913">
            <w:r>
              <w:t xml:space="preserve">Participación infantil, </w:t>
            </w:r>
            <w:proofErr w:type="spellStart"/>
            <w:r>
              <w:t>familias,etc</w:t>
            </w:r>
            <w:proofErr w:type="spellEnd"/>
            <w:r>
              <w:t>.</w:t>
            </w:r>
          </w:p>
        </w:tc>
        <w:tc>
          <w:tcPr>
            <w:tcW w:w="1410" w:type="dxa"/>
          </w:tcPr>
          <w:p w:rsidR="005A30AE" w:rsidRDefault="005A30AE"/>
        </w:tc>
        <w:tc>
          <w:tcPr>
            <w:tcW w:w="1395" w:type="dxa"/>
          </w:tcPr>
          <w:p w:rsidR="005A30AE" w:rsidRDefault="005A30AE"/>
        </w:tc>
        <w:tc>
          <w:tcPr>
            <w:tcW w:w="1290" w:type="dxa"/>
          </w:tcPr>
          <w:p w:rsidR="005A30AE" w:rsidRDefault="005A30AE"/>
        </w:tc>
        <w:tc>
          <w:tcPr>
            <w:tcW w:w="1110" w:type="dxa"/>
          </w:tcPr>
          <w:p w:rsidR="005A30AE" w:rsidRDefault="005A30AE"/>
        </w:tc>
        <w:tc>
          <w:tcPr>
            <w:tcW w:w="1620" w:type="dxa"/>
          </w:tcPr>
          <w:p w:rsidR="005A30AE" w:rsidRDefault="005A30AE"/>
        </w:tc>
      </w:tr>
    </w:tbl>
    <w:p w:rsidR="005A30AE" w:rsidRDefault="005A30AE"/>
    <w:sectPr w:rsidR="005A30A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30AE"/>
    <w:rsid w:val="005A30AE"/>
    <w:rsid w:val="008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A8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29A"/>
  </w:style>
  <w:style w:type="paragraph" w:styleId="Piedepgina">
    <w:name w:val="footer"/>
    <w:basedOn w:val="Normal"/>
    <w:link w:val="PiedepginaCar"/>
    <w:uiPriority w:val="99"/>
    <w:unhideWhenUsed/>
    <w:rsid w:val="00265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9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A8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29A"/>
  </w:style>
  <w:style w:type="paragraph" w:styleId="Piedepgina">
    <w:name w:val="footer"/>
    <w:basedOn w:val="Normal"/>
    <w:link w:val="PiedepginaCar"/>
    <w:uiPriority w:val="99"/>
    <w:unhideWhenUsed/>
    <w:rsid w:val="00265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9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E8T5pc9k1evrPEkQ0LfcElboA==">AMUW2mVyHEd2XdgJ2XM37RrTuvfa7eQpfmO9Ek+VzMJf8G+dIIQPoLCiS5/dOerhocZ1AaJWyTfiCeLSl2f95wAwQKeK4BzsC8Sxmx4VXy8agCnuZLbmmYY=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2020-04-20T08:59:00Z</dcterms:created>
  <dcterms:modified xsi:type="dcterms:W3CDTF">2020-04-20T08:59:00Z</dcterms:modified>
</cp:coreProperties>
</file>