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2"/>
        <w:gridCol w:w="7796"/>
      </w:tblGrid>
      <w:tr w:rsidR="00891507" w:rsidRPr="00A91FD0">
        <w:trPr>
          <w:trHeight w:hRule="exact" w:val="1550"/>
        </w:trPr>
        <w:tc>
          <w:tcPr>
            <w:tcW w:w="9638" w:type="dxa"/>
            <w:gridSpan w:val="2"/>
          </w:tcPr>
          <w:p w:rsidR="00891507" w:rsidRPr="00A91FD0" w:rsidRDefault="00A91FD0">
            <w:pPr>
              <w:pStyle w:val="TableParagraph"/>
              <w:tabs>
                <w:tab w:val="left" w:pos="4206"/>
              </w:tabs>
              <w:spacing w:before="377"/>
              <w:rPr>
                <w:rFonts w:ascii="Comic Sans MS" w:hAnsi="Comic Sans MS"/>
                <w:lang w:val="es-ES"/>
              </w:rPr>
            </w:pPr>
            <w:r w:rsidRPr="00A91FD0">
              <w:rPr>
                <w:rFonts w:ascii="Bradley Hand ITC" w:hAnsi="Bradley Hand ITC"/>
                <w:color w:val="528034"/>
                <w:lang w:val="es-ES"/>
              </w:rPr>
              <w:t>CEIP. Maestro</w:t>
            </w:r>
            <w:r w:rsidRPr="00A91FD0">
              <w:rPr>
                <w:rFonts w:ascii="Bradley Hand ITC" w:hAnsi="Bradley Hand ITC"/>
                <w:color w:val="528034"/>
                <w:spacing w:val="-4"/>
                <w:lang w:val="es-ES"/>
              </w:rPr>
              <w:t xml:space="preserve"> </w:t>
            </w:r>
            <w:r w:rsidRPr="00A91FD0">
              <w:rPr>
                <w:rFonts w:ascii="Bradley Hand ITC" w:hAnsi="Bradley Hand ITC"/>
                <w:color w:val="528034"/>
                <w:lang w:val="es-ES"/>
              </w:rPr>
              <w:t>Rafael</w:t>
            </w:r>
            <w:r w:rsidRPr="00A91FD0">
              <w:rPr>
                <w:rFonts w:ascii="Bradley Hand ITC" w:hAnsi="Bradley Hand ITC"/>
                <w:color w:val="528034"/>
                <w:spacing w:val="-1"/>
                <w:lang w:val="es-ES"/>
              </w:rPr>
              <w:t xml:space="preserve"> </w:t>
            </w:r>
            <w:proofErr w:type="spellStart"/>
            <w:r w:rsidRPr="00A91FD0">
              <w:rPr>
                <w:rFonts w:ascii="Bradley Hand ITC" w:hAnsi="Bradley Hand ITC"/>
                <w:color w:val="528034"/>
                <w:lang w:val="es-ES"/>
              </w:rPr>
              <w:t>Carballar</w:t>
            </w:r>
            <w:proofErr w:type="spellEnd"/>
            <w:r w:rsidRPr="00A91FD0">
              <w:rPr>
                <w:rFonts w:ascii="Bradley Hand ITC" w:hAnsi="Bradley Hand ITC"/>
                <w:color w:val="528034"/>
                <w:lang w:val="es-ES"/>
              </w:rPr>
              <w:tab/>
            </w:r>
            <w:r w:rsidRPr="00A91FD0">
              <w:rPr>
                <w:rFonts w:ascii="Comic Sans MS" w:hAnsi="Comic Sans MS"/>
                <w:sz w:val="32"/>
                <w:lang w:val="es-ES"/>
              </w:rPr>
              <w:t xml:space="preserve">F.C. </w:t>
            </w:r>
            <w:r w:rsidRPr="00A91FD0">
              <w:rPr>
                <w:rFonts w:ascii="Comic Sans MS" w:hAnsi="Comic Sans MS"/>
                <w:color w:val="006FBF"/>
                <w:sz w:val="28"/>
                <w:lang w:val="es-ES"/>
              </w:rPr>
              <w:t xml:space="preserve">“EN CONEXIÓN” </w:t>
            </w:r>
            <w:r w:rsidRPr="00A91FD0">
              <w:rPr>
                <w:rFonts w:ascii="Comic Sans MS" w:hAnsi="Comic Sans MS"/>
                <w:lang w:val="es-ES"/>
              </w:rPr>
              <w:t>Trabajo cooperativo</w:t>
            </w:r>
            <w:r w:rsidRPr="00A91FD0">
              <w:rPr>
                <w:rFonts w:ascii="Comic Sans MS" w:hAnsi="Comic Sans MS"/>
                <w:spacing w:val="-44"/>
                <w:lang w:val="es-ES"/>
              </w:rPr>
              <w:t xml:space="preserve"> </w:t>
            </w:r>
            <w:r w:rsidRPr="00A91FD0">
              <w:rPr>
                <w:rFonts w:ascii="Comic Sans MS" w:hAnsi="Comic Sans MS"/>
                <w:lang w:val="es-ES"/>
              </w:rPr>
              <w:t>y</w:t>
            </w:r>
          </w:p>
          <w:p w:rsidR="00891507" w:rsidRPr="00A91FD0" w:rsidRDefault="00A91FD0">
            <w:pPr>
              <w:pStyle w:val="TableParagraph"/>
              <w:tabs>
                <w:tab w:val="left" w:pos="7364"/>
              </w:tabs>
              <w:ind w:left="453"/>
              <w:rPr>
                <w:rFonts w:ascii="Comic Sans MS" w:hAnsi="Comic Sans MS"/>
                <w:lang w:val="es-ES"/>
              </w:rPr>
            </w:pPr>
            <w:r w:rsidRPr="00A91FD0">
              <w:rPr>
                <w:rFonts w:ascii="Bradley Hand ITC" w:hAnsi="Bradley Hand ITC"/>
                <w:color w:val="528034"/>
                <w:lang w:val="es-ES"/>
              </w:rPr>
              <w:t>Higuera de</w:t>
            </w:r>
            <w:r w:rsidRPr="00A91FD0">
              <w:rPr>
                <w:rFonts w:ascii="Bradley Hand ITC" w:hAnsi="Bradley Hand ITC"/>
                <w:color w:val="528034"/>
                <w:spacing w:val="-4"/>
                <w:lang w:val="es-ES"/>
              </w:rPr>
              <w:t xml:space="preserve"> </w:t>
            </w:r>
            <w:r w:rsidRPr="00A91FD0">
              <w:rPr>
                <w:rFonts w:ascii="Bradley Hand ITC" w:hAnsi="Bradley Hand ITC"/>
                <w:color w:val="528034"/>
                <w:lang w:val="es-ES"/>
              </w:rPr>
              <w:t>la</w:t>
            </w:r>
            <w:r w:rsidRPr="00A91FD0">
              <w:rPr>
                <w:rFonts w:ascii="Bradley Hand ITC" w:hAnsi="Bradley Hand ITC"/>
                <w:color w:val="528034"/>
                <w:spacing w:val="-2"/>
                <w:lang w:val="es-ES"/>
              </w:rPr>
              <w:t xml:space="preserve"> </w:t>
            </w:r>
            <w:r w:rsidRPr="00A91FD0">
              <w:rPr>
                <w:rFonts w:ascii="Bradley Hand ITC" w:hAnsi="Bradley Hand ITC"/>
                <w:color w:val="528034"/>
                <w:lang w:val="es-ES"/>
              </w:rPr>
              <w:t>Sierra</w:t>
            </w:r>
            <w:r w:rsidRPr="00A91FD0">
              <w:rPr>
                <w:rFonts w:ascii="Bradley Hand ITC" w:hAnsi="Bradley Hand ITC"/>
                <w:color w:val="528034"/>
                <w:lang w:val="es-ES"/>
              </w:rPr>
              <w:tab/>
            </w:r>
            <w:r w:rsidRPr="00A91FD0">
              <w:rPr>
                <w:rFonts w:ascii="Comic Sans MS" w:hAnsi="Comic Sans MS"/>
                <w:lang w:val="es-ES"/>
              </w:rPr>
              <w:t>y cohesión de</w:t>
            </w:r>
            <w:r w:rsidRPr="00A91FD0">
              <w:rPr>
                <w:rFonts w:ascii="Comic Sans MS" w:hAnsi="Comic Sans MS"/>
                <w:spacing w:val="-11"/>
                <w:lang w:val="es-ES"/>
              </w:rPr>
              <w:t xml:space="preserve"> </w:t>
            </w:r>
            <w:r w:rsidRPr="00A91FD0">
              <w:rPr>
                <w:rFonts w:ascii="Comic Sans MS" w:hAnsi="Comic Sans MS"/>
                <w:lang w:val="es-ES"/>
              </w:rPr>
              <w:t>grupo</w:t>
            </w:r>
          </w:p>
        </w:tc>
      </w:tr>
      <w:tr w:rsidR="00891507" w:rsidRPr="00A91FD0">
        <w:trPr>
          <w:trHeight w:hRule="exact" w:val="700"/>
        </w:trPr>
        <w:tc>
          <w:tcPr>
            <w:tcW w:w="9638" w:type="dxa"/>
            <w:gridSpan w:val="2"/>
          </w:tcPr>
          <w:p w:rsidR="00891507" w:rsidRPr="00A91FD0" w:rsidRDefault="00A91FD0">
            <w:pPr>
              <w:pStyle w:val="TableParagraph"/>
              <w:spacing w:before="145"/>
              <w:ind w:left="1593"/>
              <w:rPr>
                <w:rFonts w:ascii="Comic Sans MS" w:hAnsi="Comic Sans MS"/>
                <w:sz w:val="28"/>
                <w:lang w:val="es-ES"/>
              </w:rPr>
            </w:pPr>
            <w:r w:rsidRPr="00A91FD0">
              <w:rPr>
                <w:rFonts w:ascii="Comic Sans MS" w:hAnsi="Comic Sans MS"/>
                <w:color w:val="FF0000"/>
                <w:sz w:val="28"/>
                <w:lang w:val="es-ES"/>
              </w:rPr>
              <w:t>Técnicas desarrolladas en las diferentes sesiones</w:t>
            </w:r>
          </w:p>
        </w:tc>
      </w:tr>
      <w:tr w:rsidR="00891507">
        <w:trPr>
          <w:trHeight w:hRule="exact" w:val="578"/>
        </w:trPr>
        <w:tc>
          <w:tcPr>
            <w:tcW w:w="1842" w:type="dxa"/>
          </w:tcPr>
          <w:p w:rsidR="00891507" w:rsidRPr="00A91FD0" w:rsidRDefault="00A91FD0">
            <w:pPr>
              <w:pStyle w:val="TableParagraph"/>
              <w:ind w:right="180"/>
              <w:rPr>
                <w:rFonts w:ascii="Times New Roman" w:hAnsi="Times New Roman"/>
                <w:sz w:val="24"/>
                <w:lang w:val="es-ES"/>
              </w:rPr>
            </w:pPr>
            <w:r w:rsidRPr="00A91FD0">
              <w:rPr>
                <w:rFonts w:ascii="Times New Roman" w:hAnsi="Times New Roman"/>
                <w:sz w:val="24"/>
                <w:lang w:val="es-ES"/>
              </w:rPr>
              <w:t>Nombre de la Técnica/juego</w:t>
            </w:r>
          </w:p>
        </w:tc>
        <w:tc>
          <w:tcPr>
            <w:tcW w:w="7796" w:type="dxa"/>
          </w:tcPr>
          <w:p w:rsidR="00891507" w:rsidRDefault="00A91FD0">
            <w:pPr>
              <w:pStyle w:val="TableParagraph"/>
            </w:pPr>
            <w:r>
              <w:t xml:space="preserve">Folio </w:t>
            </w:r>
            <w:proofErr w:type="spellStart"/>
            <w:r>
              <w:t>giratorio</w:t>
            </w:r>
            <w:proofErr w:type="spellEnd"/>
          </w:p>
        </w:tc>
      </w:tr>
      <w:tr w:rsidR="00891507">
        <w:trPr>
          <w:trHeight w:hRule="exact" w:val="982"/>
        </w:trPr>
        <w:tc>
          <w:tcPr>
            <w:tcW w:w="1842" w:type="dxa"/>
          </w:tcPr>
          <w:p w:rsidR="00891507" w:rsidRDefault="00A91FD0">
            <w:pPr>
              <w:pStyle w:val="TableParagraph"/>
              <w:ind w:right="47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Ámbitos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trabaja</w:t>
            </w:r>
            <w:proofErr w:type="spellEnd"/>
          </w:p>
        </w:tc>
        <w:tc>
          <w:tcPr>
            <w:tcW w:w="7796" w:type="dxa"/>
          </w:tcPr>
          <w:p w:rsidR="00891507" w:rsidRDefault="00A91FD0">
            <w:pPr>
              <w:pStyle w:val="TableParagraph"/>
            </w:pPr>
            <w:r w:rsidRPr="00A91FD0">
              <w:rPr>
                <w:lang w:val="es-ES"/>
              </w:rPr>
              <w:t xml:space="preserve">Trabajo en equipo como recurso de aprendizaje. </w:t>
            </w:r>
            <w:proofErr w:type="spellStart"/>
            <w:r>
              <w:t>Prevenir</w:t>
            </w:r>
            <w:proofErr w:type="spellEnd"/>
            <w:r>
              <w:t xml:space="preserve"> </w:t>
            </w:r>
            <w:proofErr w:type="spellStart"/>
            <w:r>
              <w:t>conflictos</w:t>
            </w:r>
            <w:proofErr w:type="spellEnd"/>
            <w:r>
              <w:t>.</w:t>
            </w:r>
          </w:p>
        </w:tc>
      </w:tr>
      <w:tr w:rsidR="00891507" w:rsidRPr="00A91FD0">
        <w:trPr>
          <w:trHeight w:hRule="exact" w:val="2970"/>
        </w:trPr>
        <w:tc>
          <w:tcPr>
            <w:tcW w:w="1842" w:type="dxa"/>
          </w:tcPr>
          <w:p w:rsidR="00891507" w:rsidRDefault="00A91FD0">
            <w:pPr>
              <w:pStyle w:val="TableParagraph"/>
              <w:ind w:right="18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Breve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descripción</w:t>
            </w:r>
            <w:proofErr w:type="spellEnd"/>
          </w:p>
        </w:tc>
        <w:tc>
          <w:tcPr>
            <w:tcW w:w="7796" w:type="dxa"/>
          </w:tcPr>
          <w:p w:rsidR="00891507" w:rsidRPr="00A91FD0" w:rsidRDefault="00A91FD0">
            <w:pPr>
              <w:pStyle w:val="TableParagraph"/>
              <w:ind w:right="158"/>
              <w:rPr>
                <w:lang w:val="es-ES"/>
              </w:rPr>
            </w:pPr>
            <w:r w:rsidRPr="00A91FD0">
              <w:rPr>
                <w:lang w:val="es-ES"/>
              </w:rPr>
              <w:t>Se hacen tres equipos de cinco alumnos/as. Se han repartidos tarjetas con nombres e imágenes referidas a campos semánticos. A cada grupo se le reparten. Un miembro del equipo empieza a escribir una palabra y se la va pasando al compañero, y así sucesivamen</w:t>
            </w:r>
            <w:r w:rsidRPr="00A91FD0">
              <w:rPr>
                <w:lang w:val="es-ES"/>
              </w:rPr>
              <w:t>te, las van ordenando en distintos campos semánticos: medios de transporte, ropa de vestir, utensilios de cocina…</w:t>
            </w:r>
          </w:p>
          <w:p w:rsidR="00891507" w:rsidRPr="00A91FD0" w:rsidRDefault="00A91FD0">
            <w:pPr>
              <w:pStyle w:val="TableParagraph"/>
              <w:rPr>
                <w:lang w:val="es-ES"/>
              </w:rPr>
            </w:pPr>
            <w:r w:rsidRPr="00A91FD0">
              <w:rPr>
                <w:lang w:val="es-ES"/>
              </w:rPr>
              <w:t>Antes de escribirla la comenta a sus compañero/as, se ayudan, deben estar pendientes y corregirse. Cuando terminen, piden a otros grupos si ti</w:t>
            </w:r>
            <w:r w:rsidRPr="00A91FD0">
              <w:rPr>
                <w:lang w:val="es-ES"/>
              </w:rPr>
              <w:t>enen más palabras, ya que habrá grupos que tengan más fichas. Y completan el folio giratorio. Cada uno usa un color diferente, así puede verse la aportación de cada uno.</w:t>
            </w:r>
          </w:p>
        </w:tc>
      </w:tr>
      <w:tr w:rsidR="00891507" w:rsidRPr="00A91FD0">
        <w:trPr>
          <w:trHeight w:hRule="exact" w:val="1698"/>
        </w:trPr>
        <w:tc>
          <w:tcPr>
            <w:tcW w:w="1842" w:type="dxa"/>
          </w:tcPr>
          <w:p w:rsidR="00891507" w:rsidRDefault="00A91FD0">
            <w:pPr>
              <w:pStyle w:val="TableParagraph"/>
              <w:ind w:right="18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Relación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sz w:val="24"/>
              </w:rPr>
              <w:t>Programación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Currículum</w:t>
            </w:r>
            <w:proofErr w:type="spellEnd"/>
          </w:p>
        </w:tc>
        <w:tc>
          <w:tcPr>
            <w:tcW w:w="7796" w:type="dxa"/>
          </w:tcPr>
          <w:p w:rsidR="00891507" w:rsidRPr="00A91FD0" w:rsidRDefault="00A91FD0">
            <w:pPr>
              <w:pStyle w:val="TableParagraph"/>
              <w:rPr>
                <w:lang w:val="es-ES"/>
              </w:rPr>
            </w:pPr>
            <w:r w:rsidRPr="00A91FD0">
              <w:rPr>
                <w:lang w:val="es-ES"/>
              </w:rPr>
              <w:t>Esta actividad está relacionada con el área de lengua, con la compresión y expresión oral. Aprenden a esperar turnos para hablar, a escuchar y respetar a los demás.</w:t>
            </w:r>
          </w:p>
          <w:p w:rsidR="00891507" w:rsidRPr="00A91FD0" w:rsidRDefault="00A91FD0">
            <w:pPr>
              <w:pStyle w:val="TableParagraph"/>
              <w:rPr>
                <w:lang w:val="es-ES"/>
              </w:rPr>
            </w:pPr>
            <w:r w:rsidRPr="00A91FD0">
              <w:rPr>
                <w:lang w:val="es-ES"/>
              </w:rPr>
              <w:t>Reglas ortográficas, al escribirlas, que no cometan faltas….</w:t>
            </w:r>
          </w:p>
        </w:tc>
      </w:tr>
      <w:tr w:rsidR="00891507" w:rsidRPr="00A91FD0">
        <w:trPr>
          <w:trHeight w:hRule="exact" w:val="2244"/>
        </w:trPr>
        <w:tc>
          <w:tcPr>
            <w:tcW w:w="1842" w:type="dxa"/>
          </w:tcPr>
          <w:p w:rsidR="00891507" w:rsidRDefault="00A91FD0">
            <w:pPr>
              <w:pStyle w:val="TableParagraph"/>
              <w:ind w:right="13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Aplicación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en el aula</w:t>
            </w:r>
          </w:p>
        </w:tc>
        <w:tc>
          <w:tcPr>
            <w:tcW w:w="7796" w:type="dxa"/>
          </w:tcPr>
          <w:p w:rsidR="00891507" w:rsidRPr="00A91FD0" w:rsidRDefault="00A91FD0">
            <w:pPr>
              <w:pStyle w:val="TableParagraph"/>
              <w:ind w:right="452" w:firstLine="49"/>
              <w:jc w:val="both"/>
              <w:rPr>
                <w:lang w:val="es-ES"/>
              </w:rPr>
            </w:pPr>
            <w:r w:rsidRPr="00A91FD0">
              <w:rPr>
                <w:lang w:val="es-ES"/>
              </w:rPr>
              <w:t>Para conocer las ideas previas y comprobar lo que saben. Como motivación para explicar el tema. Para favorecer el trabajo grupal y que sirva de apoyo y refuerzo para los alumnos con dificultades en el aprendizaje.</w:t>
            </w:r>
          </w:p>
        </w:tc>
      </w:tr>
      <w:tr w:rsidR="00891507" w:rsidRPr="00A91FD0">
        <w:trPr>
          <w:trHeight w:hRule="exact" w:val="1978"/>
        </w:trPr>
        <w:tc>
          <w:tcPr>
            <w:tcW w:w="1842" w:type="dxa"/>
          </w:tcPr>
          <w:p w:rsidR="00891507" w:rsidRDefault="00A91FD0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Valoración</w:t>
            </w:r>
            <w:proofErr w:type="spellEnd"/>
          </w:p>
        </w:tc>
        <w:tc>
          <w:tcPr>
            <w:tcW w:w="7796" w:type="dxa"/>
          </w:tcPr>
          <w:p w:rsidR="00891507" w:rsidRPr="00A91FD0" w:rsidRDefault="00A91FD0">
            <w:pPr>
              <w:pStyle w:val="TableParagraph"/>
              <w:ind w:right="158"/>
              <w:rPr>
                <w:lang w:val="es-ES"/>
              </w:rPr>
            </w:pPr>
            <w:r w:rsidRPr="00A91FD0">
              <w:rPr>
                <w:lang w:val="es-ES"/>
              </w:rPr>
              <w:t>Es una actividad muy divertida</w:t>
            </w:r>
            <w:r w:rsidRPr="00A91FD0">
              <w:rPr>
                <w:lang w:val="es-ES"/>
              </w:rPr>
              <w:t>, ya que los grupos necesitan tarjetas que otros grupos tienen, para completar sus campos semánticos, en el folio giratorio.</w:t>
            </w:r>
          </w:p>
        </w:tc>
      </w:tr>
    </w:tbl>
    <w:p w:rsidR="00000000" w:rsidRDefault="00A91FD0">
      <w:pPr>
        <w:rPr>
          <w:lang w:val="es-ES"/>
        </w:rPr>
      </w:pPr>
    </w:p>
    <w:p w:rsidR="00A91FD0" w:rsidRDefault="00A91FD0">
      <w:pPr>
        <w:rPr>
          <w:lang w:val="es-ES"/>
        </w:rPr>
      </w:pPr>
    </w:p>
    <w:p w:rsidR="00A91FD0" w:rsidRDefault="00A91FD0">
      <w:pPr>
        <w:rPr>
          <w:lang w:val="es-ES"/>
        </w:rPr>
      </w:pPr>
    </w:p>
    <w:p w:rsidR="00A91FD0" w:rsidRDefault="00A91FD0">
      <w:pPr>
        <w:rPr>
          <w:lang w:val="es-ES"/>
        </w:rPr>
      </w:pPr>
    </w:p>
    <w:p w:rsidR="00A91FD0" w:rsidRDefault="00A91FD0">
      <w:pPr>
        <w:rPr>
          <w:lang w:val="es-ES"/>
        </w:rPr>
      </w:pPr>
    </w:p>
    <w:p w:rsidR="00A91FD0" w:rsidRDefault="00A91FD0">
      <w:pPr>
        <w:rPr>
          <w:lang w:val="es-ES"/>
        </w:rPr>
      </w:pPr>
    </w:p>
    <w:p w:rsidR="00A91FD0" w:rsidRDefault="00A91FD0">
      <w:pPr>
        <w:rPr>
          <w:lang w:val="es-ES"/>
        </w:rPr>
      </w:pPr>
    </w:p>
    <w:p w:rsidR="00A91FD0" w:rsidRDefault="00A91FD0">
      <w:pPr>
        <w:rPr>
          <w:lang w:val="es-ES"/>
        </w:rPr>
      </w:pPr>
    </w:p>
    <w:p w:rsidR="00A91FD0" w:rsidRDefault="00A91FD0">
      <w:pPr>
        <w:rPr>
          <w:lang w:val="es-ES"/>
        </w:rPr>
      </w:pPr>
    </w:p>
    <w:p w:rsidR="00A91FD0" w:rsidRDefault="00A91FD0">
      <w:pPr>
        <w:rPr>
          <w:lang w:val="es-ES"/>
        </w:rPr>
      </w:pPr>
    </w:p>
    <w:p w:rsidR="00A91FD0" w:rsidRDefault="00A91FD0" w:rsidP="00A91FD0">
      <w:pPr>
        <w:jc w:val="center"/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011774" cy="3012044"/>
            <wp:effectExtent l="19050" t="0" r="7776" b="0"/>
            <wp:docPr id="2" name="Imagen 2" descr="C:\Users\Raquel\Downloads\WhatsApp Image 2020-03-28 at 19.0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quel\Downloads\WhatsApp Image 2020-03-28 at 19.07.0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6" cy="301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FD0" w:rsidRDefault="00A91FD0" w:rsidP="00A91FD0">
      <w:pPr>
        <w:jc w:val="center"/>
        <w:rPr>
          <w:lang w:val="es-ES"/>
        </w:rPr>
      </w:pPr>
    </w:p>
    <w:p w:rsidR="00A91FD0" w:rsidRDefault="00A91FD0" w:rsidP="00A91FD0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4142403" cy="3110122"/>
            <wp:effectExtent l="19050" t="0" r="0" b="0"/>
            <wp:docPr id="3" name="Imagen 3" descr="C:\Users\Raquel\Downloads\WhatsApp Image 2020-03-28 at 19.06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quel\Downloads\WhatsApp Image 2020-03-28 at 19.06.5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363" cy="311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FD0" w:rsidRDefault="00A91FD0" w:rsidP="00A91FD0">
      <w:pPr>
        <w:jc w:val="center"/>
        <w:rPr>
          <w:lang w:val="es-ES"/>
        </w:rPr>
      </w:pPr>
    </w:p>
    <w:p w:rsidR="00A91FD0" w:rsidRPr="00A91FD0" w:rsidRDefault="00A91FD0" w:rsidP="00A91FD0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4086419" cy="3065326"/>
            <wp:effectExtent l="19050" t="0" r="9331" b="0"/>
            <wp:docPr id="1" name="Imagen 1" descr="C:\Users\Raquel\Downloads\WhatsApp Image 2020-03-28 at 19.07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\Downloads\WhatsApp Image 2020-03-28 at 19.07.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529" cy="30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FD0" w:rsidRPr="00A91FD0" w:rsidSect="00891507">
      <w:type w:val="continuous"/>
      <w:pgSz w:w="11910" w:h="16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891507"/>
    <w:rsid w:val="00891507"/>
    <w:rsid w:val="00A9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1507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891507"/>
  </w:style>
  <w:style w:type="paragraph" w:customStyle="1" w:styleId="TableParagraph">
    <w:name w:val="Table Paragraph"/>
    <w:basedOn w:val="Normal"/>
    <w:uiPriority w:val="1"/>
    <w:qFormat/>
    <w:rsid w:val="00891507"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1F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</cp:lastModifiedBy>
  <cp:revision>2</cp:revision>
  <dcterms:created xsi:type="dcterms:W3CDTF">2020-03-28T19:08:00Z</dcterms:created>
  <dcterms:modified xsi:type="dcterms:W3CDTF">2020-03-28T18:13:00Z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2020-03-27T00:00:00Z</vt:filetime>
  </property>
</Properties>
</file>