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965046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</w:tcPr>
          <w:p w:rsidR="00965046" w:rsidRDefault="00690011">
            <w:r>
              <w:t>Juego Cooperativo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965046" w:rsidRDefault="002C1973">
            <w:r>
              <w:t>Cohesión grupal</w:t>
            </w: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965046" w:rsidRDefault="00690011">
            <w:r>
              <w:t>Los alumnos deben pasar la pelota con los pies sin tocar el suelo.</w:t>
            </w:r>
            <w:r w:rsidR="009A3028">
              <w:t xml:space="preserve"> Estarán todos sentados en fila. La pelota irá pasando de alumno en alumno. Si se cae al suelo se vuelve a empezar.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965046" w:rsidRDefault="00D517DF">
            <w:r>
              <w:t>Desarrollado en el área de Educación Física y de Educación para la Ciudadanía.</w:t>
            </w: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A704F2" w:rsidRDefault="0069017E" w:rsidP="00965046">
            <w:r>
              <w:t>. Se puede hacer en el patio y dentro de la clase.</w:t>
            </w:r>
            <w:r w:rsidR="00A704F2">
              <w:t xml:space="preserve"> Servirá para que los alumnos </w:t>
            </w:r>
            <w:r w:rsidR="00496BFA">
              <w:t>entiendan la importancia de cada uno. Un error, supone volver a empezar.</w:t>
            </w:r>
          </w:p>
          <w:p w:rsidR="00965046" w:rsidRDefault="0069017E" w:rsidP="00965046">
            <w:r>
              <w:t xml:space="preserve"> 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367F5E" w:rsidP="00965046">
            <w:r>
              <w:t xml:space="preserve">Mi valoración es positiva como aprendizaje cooperativo aunque hay que situar bien a los alumnos para no frustrar a ninguno. </w:t>
            </w:r>
            <w:bookmarkStart w:id="0" w:name="_GoBack"/>
            <w:bookmarkEnd w:id="0"/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52"/>
    <w:rsid w:val="002405B8"/>
    <w:rsid w:val="002C1973"/>
    <w:rsid w:val="00367F5E"/>
    <w:rsid w:val="00496BFA"/>
    <w:rsid w:val="00690011"/>
    <w:rsid w:val="0069017E"/>
    <w:rsid w:val="00965046"/>
    <w:rsid w:val="009A3028"/>
    <w:rsid w:val="00A704F2"/>
    <w:rsid w:val="00A734ED"/>
    <w:rsid w:val="00BA5852"/>
    <w:rsid w:val="00C0033B"/>
    <w:rsid w:val="00D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05A1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mariapiedadmp@yahoo.es</cp:lastModifiedBy>
  <cp:revision>2</cp:revision>
  <dcterms:created xsi:type="dcterms:W3CDTF">2020-03-27T20:01:00Z</dcterms:created>
  <dcterms:modified xsi:type="dcterms:W3CDTF">2020-03-27T20:01:00Z</dcterms:modified>
</cp:coreProperties>
</file>