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94" w:rsidRDefault="003267F8" w:rsidP="0052615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Lola Moreno de Juan</w:t>
      </w:r>
    </w:p>
    <w:p w:rsidR="003267F8" w:rsidRPr="00854F08" w:rsidRDefault="003267F8" w:rsidP="0052615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Programación MIA</w:t>
      </w: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NewsGotT-Regu" w:hAnsi="NewsGotT-Regu" w:cs="NewsGotT-Regu"/>
                <w:lang w:val="en-US"/>
              </w:rPr>
              <w:t>0694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proofErr w:type="spellStart"/>
            <w:r>
              <w:rPr>
                <w:rFonts w:ascii="NewsGotT-Regu" w:hAnsi="NewsGotT-Regu" w:cs="NewsGotT-Regu"/>
                <w:lang w:val="en-US"/>
              </w:rPr>
              <w:t>Maquinaria</w:t>
            </w:r>
            <w:proofErr w:type="spellEnd"/>
            <w:r>
              <w:rPr>
                <w:rFonts w:ascii="NewsGotT-Regu" w:hAnsi="NewsGotT-Regu" w:cs="NewsGotT-Regu"/>
                <w:lang w:val="en-US"/>
              </w:rPr>
              <w:t xml:space="preserve"> e </w:t>
            </w:r>
            <w:proofErr w:type="spellStart"/>
            <w:r>
              <w:rPr>
                <w:rFonts w:ascii="NewsGotT-Regu" w:hAnsi="NewsGotT-Regu" w:cs="NewsGotT-Regu"/>
                <w:lang w:val="en-US"/>
              </w:rPr>
              <w:t>instalaciones</w:t>
            </w:r>
            <w:proofErr w:type="spellEnd"/>
            <w:r>
              <w:rPr>
                <w:rFonts w:ascii="NewsGotT-Regu" w:hAnsi="NewsGotT-Regu" w:cs="NewsGotT-Regu"/>
                <w:lang w:val="en-US"/>
              </w:rPr>
              <w:t xml:space="preserve"> </w:t>
            </w:r>
            <w:proofErr w:type="spellStart"/>
            <w:r>
              <w:rPr>
                <w:rFonts w:ascii="NewsGotT-Regu" w:hAnsi="NewsGotT-Regu" w:cs="NewsGotT-Regu"/>
                <w:lang w:val="en-US"/>
              </w:rPr>
              <w:t>agroforestales</w:t>
            </w:r>
            <w:proofErr w:type="spellEnd"/>
          </w:p>
        </w:tc>
      </w:tr>
      <w:tr w:rsidR="00521CDE" w:rsidRPr="00854F08" w:rsidTr="00DC2241">
        <w:trPr>
          <w:trHeight w:val="34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Tecnico</w:t>
            </w:r>
            <w:proofErr w:type="spellEnd"/>
            <w:r>
              <w:rPr>
                <w:rFonts w:ascii="Trebuchet MS" w:hAnsi="Trebuchet MS" w:cs="Arial"/>
              </w:rPr>
              <w:t xml:space="preserve"> superior en </w:t>
            </w:r>
            <w:proofErr w:type="spellStart"/>
            <w:r>
              <w:rPr>
                <w:rFonts w:ascii="Trebuchet MS" w:hAnsi="Trebuchet MS" w:cs="Arial"/>
              </w:rPr>
              <w:t>Pasisajismo</w:t>
            </w:r>
            <w:proofErr w:type="spellEnd"/>
            <w:r>
              <w:rPr>
                <w:rFonts w:ascii="Trebuchet MS" w:hAnsi="Trebuchet MS" w:cs="Arial"/>
              </w:rPr>
              <w:t xml:space="preserve"> y medio rural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Superior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2241" w:rsidRPr="003267F8" w:rsidRDefault="00DC2241" w:rsidP="00DC2241">
            <w:pPr>
              <w:rPr>
                <w:rFonts w:ascii="Trebuchet MS" w:hAnsi="Trebuchet MS" w:cs="Arial"/>
                <w:sz w:val="22"/>
              </w:rPr>
            </w:pPr>
            <w:r w:rsidRPr="003267F8">
              <w:rPr>
                <w:rFonts w:ascii="Trebuchet MS" w:hAnsi="Trebuchet MS" w:cs="Arial"/>
                <w:sz w:val="22"/>
              </w:rPr>
              <w:t>UC0009_3: Gestionar la maquinaria, equipos e instalaciones de jardinería.</w:t>
            </w:r>
          </w:p>
          <w:p w:rsidR="00DC2241" w:rsidRPr="003267F8" w:rsidRDefault="00DC2241" w:rsidP="00DC2241">
            <w:pPr>
              <w:rPr>
                <w:rFonts w:ascii="Trebuchet MS" w:hAnsi="Trebuchet MS" w:cs="Arial"/>
                <w:sz w:val="22"/>
              </w:rPr>
            </w:pPr>
            <w:r w:rsidRPr="003267F8">
              <w:rPr>
                <w:rFonts w:ascii="Trebuchet MS" w:hAnsi="Trebuchet MS" w:cs="Arial"/>
                <w:sz w:val="22"/>
              </w:rPr>
              <w:t>UC1132_3: Gestionar la maquinaria, equipos e instalaciones de la explotación agrícola.</w:t>
            </w:r>
          </w:p>
          <w:p w:rsidR="00521CDE" w:rsidRPr="00854F08" w:rsidRDefault="00DC2241" w:rsidP="00DC2241">
            <w:pPr>
              <w:rPr>
                <w:rFonts w:ascii="Trebuchet MS" w:hAnsi="Trebuchet MS" w:cs="Arial"/>
              </w:rPr>
            </w:pPr>
            <w:r w:rsidRPr="003267F8">
              <w:rPr>
                <w:rFonts w:ascii="Trebuchet MS" w:hAnsi="Trebuchet MS" w:cs="Arial"/>
                <w:sz w:val="22"/>
              </w:rPr>
              <w:t>UC0730_3: Gestionar la maquinaria, equipos e instalaciones de la explotación forestal.</w:t>
            </w: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C22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C22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</w:tr>
      <w:tr w:rsidR="00521CDE" w:rsidRPr="00854F08" w:rsidTr="00DC2241">
        <w:trPr>
          <w:trHeight w:val="7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DC2241" w:rsidP="00DC2241">
            <w:pPr>
              <w:rPr>
                <w:rFonts w:ascii="Trebuchet MS" w:hAnsi="Trebuchet MS" w:cs="Arial"/>
              </w:rPr>
            </w:pPr>
            <w:r w:rsidRPr="00DC2241">
              <w:rPr>
                <w:rFonts w:ascii="Trebuchet MS" w:hAnsi="Trebuchet MS" w:cs="Arial"/>
              </w:rPr>
              <w:t>Este módulo profesional contiene la formación necesaria para desempeñar la función de planificación y organización de la maquinaria, equipos e instalaciones de una empresa agrícola, forestal o de jardinería.</w:t>
            </w:r>
          </w:p>
        </w:tc>
      </w:tr>
    </w:tbl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2: No</w:t>
      </w:r>
      <w:bookmarkStart w:id="0" w:name="_GoBack"/>
      <w:bookmarkEnd w:id="0"/>
      <w:r w:rsidRPr="00854F08">
        <w:rPr>
          <w:rFonts w:ascii="Trebuchet MS" w:hAnsi="Trebuchet MS"/>
          <w:sz w:val="28"/>
          <w:szCs w:val="28"/>
        </w:rPr>
        <w:t>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DC2241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="00E46B89"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="00E46B89" w:rsidRPr="00854F08">
              <w:rPr>
                <w:rFonts w:ascii="Trebuchet MS" w:hAnsi="Trebuchet MS"/>
              </w:rPr>
              <w:t xml:space="preserve"> modificada por ley Orgánica 8/</w:t>
            </w:r>
            <w:proofErr w:type="gramStart"/>
            <w:r w:rsidR="00E46B89" w:rsidRPr="00854F08">
              <w:rPr>
                <w:rFonts w:ascii="Trebuchet MS" w:hAnsi="Trebuchet MS"/>
              </w:rPr>
              <w:t>2013 ,</w:t>
            </w:r>
            <w:proofErr w:type="gramEnd"/>
            <w:r w:rsidR="00E46B89" w:rsidRPr="00854F08">
              <w:rPr>
                <w:rFonts w:ascii="Trebuchet MS" w:hAnsi="Trebuchet MS"/>
              </w:rPr>
              <w:t xml:space="preserve">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241" w:rsidRPr="00854F08" w:rsidRDefault="00DC2241" w:rsidP="00B67AF4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Real Decreto 259/2011, de 28 de febrero, por el que se establece el título de Técnico Superior en Paisajismo y Medio Rural y se fijan sus enseñanzas mínimas.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241" w:rsidRPr="00DC2241" w:rsidRDefault="00DC2241" w:rsidP="00DC2241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Orden de 14 de abril de 2014, por la que se desarrolla el currículo correspondiente al título de</w:t>
            </w:r>
          </w:p>
          <w:p w:rsidR="00DC2241" w:rsidRPr="00854F08" w:rsidRDefault="00DC2241" w:rsidP="00DC2241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Técnico Superior en Paisajismo y Medio Rural.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B42820" w:rsidRPr="00854F08" w:rsidTr="00B42820">
        <w:trPr>
          <w:trHeight w:val="51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Supervisar y realizar trabajos en altura</w:t>
            </w:r>
            <w:r w:rsidRPr="00B428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utilizando las herramientas y máquinas en condiciones de seguridad.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706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 j)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Programar el mantenimiento y controlar el funcionamiento y utilización de la maquinaria,</w:t>
            </w:r>
            <w:r w:rsidRPr="00B42820">
              <w:rPr>
                <w:sz w:val="18"/>
                <w:szCs w:val="18"/>
              </w:rPr>
              <w:t xml:space="preserve"> equipos e instalaciones agrícolas y de jardinería,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organizando los trabajos del taller.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m)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Controlar las operaciones de producción</w:t>
            </w:r>
            <w:r w:rsidRPr="00B428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comprobando que se utilizan las técnicas, métodos, medios y equipos que se ajustan a las operaciones que se tienen que realizar y optimizan el rendimiento.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q)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 xml:space="preserve">Adaptarse a las nuevas situaciones laborales,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517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Resolver situaciones, problemas o contingencias con iniciativa y autonomía</w:t>
            </w:r>
            <w:r w:rsidRPr="00B42820">
              <w:rPr>
                <w:sz w:val="18"/>
                <w:szCs w:val="18"/>
              </w:rPr>
              <w:t xml:space="preserve"> en el ámbito de su competencia,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con creatividad, innovación y espíritu de mejora en el trabajo personal y en el de los miembros del equipo.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 xml:space="preserve">Organizar y coordinar equipos de trabajo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con responsabilidad, supervisando el desarrollo del mismo, manteniendo relaciones fluidas y asumiendo el liderazgo, así como aportando soluciones a los conflictos grupales que se presentan.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Comunicarse con sus iguales, superiores, clientes y personas bajo su responsabilidad,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utilizando vías eficaces de comunicación, transmitiendo la información o conocimientos adecuados y respetando la autonomía y competencia de las personas que intervienen en el ámbito de su trabajo.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u)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Generar entornos seguros</w:t>
            </w:r>
            <w:r w:rsidRPr="00B42820">
              <w:rPr>
                <w:sz w:val="18"/>
                <w:szCs w:val="18"/>
              </w:rPr>
              <w:t xml:space="preserve"> en el desarrollo de su trabajo y el de su equipo,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supervisando y aplicando los procedimientos de prevención de riesgos laborales y ambientales, de acuerdo con lo establecido por la normativa y los objetivos de la empresa.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v)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Supervisar y aplicar procedimientos de gestión de calidad,</w:t>
            </w:r>
            <w:r w:rsidRPr="00B42820">
              <w:rPr>
                <w:sz w:val="18"/>
                <w:szCs w:val="18"/>
              </w:rPr>
              <w:t xml:space="preserve"> de accesibilidad universal y de «diseño para todos», en las actividades profesionales incluidas en los procesos de producción o prestación de servicios.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687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x)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Ejercer sus derechos y cumplir con las obligaciones derivadas de su actividad profesional,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 de acuerdo con lo establecido en la legislación vigente, participando activamente en la vida económica, social y cultural.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:rsidR="00AA6666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Pr="00854F08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05D2B" w:rsidRPr="00A05D2B" w:rsidTr="00B42820">
        <w:trPr>
          <w:trHeight w:val="516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 xml:space="preserve">Seleccionar y manejar </w:t>
            </w:r>
            <w:r w:rsidRPr="00A05D2B">
              <w:rPr>
                <w:sz w:val="18"/>
                <w:szCs w:val="18"/>
              </w:rPr>
              <w:t xml:space="preserve">herramientas y máquinas,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relacionándolas con la operación que se va a llevar a cabo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supervisar y realizar trabajos en altura en condiciones de calidad y seguridad.</w:t>
            </w:r>
          </w:p>
        </w:tc>
      </w:tr>
      <w:tr w:rsidR="00A05D2B" w:rsidRPr="00A05D2B" w:rsidTr="00C748F8">
        <w:trPr>
          <w:trHeight w:val="706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j)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Describir la organización de los trabajos del taller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relacionándola con protocolos de calidad y seguridad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controlar el funcionamiento, mantenimiento y utilización de la maquinaria, equipos e instalaciones agrícolas y de jardinería.</w:t>
            </w:r>
          </w:p>
        </w:tc>
      </w:tr>
      <w:tr w:rsidR="00A05D2B" w:rsidRPr="00A05D2B" w:rsidTr="00C748F8">
        <w:trPr>
          <w:trHeight w:val="4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b/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Analizar las técnicas, medios y equipos,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relacionándolos con criterios de calidad,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asegurar el rendimiento productivo.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q)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Analizar y utilizar los recursos y oportunidades de aprendizaje relacionadas con la evolución científica, tecnológica y organizativa</w:t>
            </w:r>
            <w:r w:rsidRPr="00A05D2B">
              <w:rPr>
                <w:sz w:val="18"/>
                <w:szCs w:val="18"/>
              </w:rPr>
              <w:t xml:space="preserve"> del sector y las tecnologías de la información y la comunicación,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para mantener el espíritu de actualización y adaptarse a nuevas situaciones laborales y personales. </w:t>
            </w:r>
          </w:p>
        </w:tc>
      </w:tr>
      <w:tr w:rsidR="00A05D2B" w:rsidRPr="00A05D2B" w:rsidTr="00C748F8">
        <w:trPr>
          <w:trHeight w:val="693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b/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Desarrollar la creatividad y el espíritu de innovación,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responder a los retos que se presentan en los procesos y en la organización del trabajo y de la vida personal.</w:t>
            </w:r>
          </w:p>
        </w:tc>
      </w:tr>
      <w:tr w:rsidR="00A05D2B" w:rsidRPr="00A05D2B" w:rsidTr="00C748F8">
        <w:trPr>
          <w:trHeight w:val="702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Tomar decisiones de forma fundamentada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analizando las variables implicadas, integrando saberes de distinto ámbito y aceptando los riesgos y la posibilidad de equivocación en las mismas,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afrontar y resolver distintas situaciones, problemas o contingencias.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Desarrollar técnicas de liderazgo, motivación, supervisión y comunicación</w:t>
            </w:r>
            <w:r w:rsidRPr="00A05D2B">
              <w:rPr>
                <w:sz w:val="18"/>
                <w:szCs w:val="18"/>
              </w:rPr>
              <w:t xml:space="preserve"> en contextos de trabajo en grupo,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facilitar la organización y coordinación de equipos de trabajo.</w:t>
            </w:r>
          </w:p>
        </w:tc>
      </w:tr>
      <w:tr w:rsidR="00A05D2B" w:rsidRPr="00A05D2B" w:rsidTr="00C748F8">
        <w:trPr>
          <w:trHeight w:val="45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u)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Aplicar estrategias y técnicas de comunicación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adaptándose a los contenidos que se van a transmitir, a la finalidad y a las características de los receptores,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 para asegurar la eficacia en los procesos de comunicación</w:t>
            </w:r>
          </w:p>
        </w:tc>
      </w:tr>
      <w:tr w:rsidR="00A05D2B" w:rsidRPr="00A05D2B" w:rsidTr="00C748F8">
        <w:trPr>
          <w:trHeight w:val="703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v)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Evaluar situaciones de prevención de riesgos</w:t>
            </w:r>
            <w:r w:rsidRPr="00A05D2B">
              <w:rPr>
                <w:sz w:val="18"/>
                <w:szCs w:val="18"/>
              </w:rPr>
              <w:t xml:space="preserve"> laborales y de protección ambiental,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proponiendo y aplicando medidas de prevención personales y colectivas, de acuerdo con la normativa aplicable en los procesos del trabajo,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garantizar entornos seguros.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x)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 xml:space="preserve">Identificar y aplicar parámetros de calidad </w:t>
            </w:r>
            <w:r w:rsidRPr="00A05D2B">
              <w:rPr>
                <w:sz w:val="18"/>
                <w:szCs w:val="18"/>
              </w:rPr>
              <w:t>en los trabajos y actividades realizados en el proceso de aprendizaje,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valorar la cultura de la evaluación y de la calidad y ser capaces de supervisar y mejorar procedimientos de gestión de calidad.</w:t>
            </w:r>
          </w:p>
        </w:tc>
      </w:tr>
      <w:tr w:rsidR="00A05D2B" w:rsidRPr="00A05D2B" w:rsidTr="00C748F8">
        <w:trPr>
          <w:trHeight w:val="597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y)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Utilizar procedimientos relacionados con la cultura emprendedora, empresarial y de iniciativa profesional,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realizar la gestión básica de una pequeña empresa o emprender un trabajo</w:t>
            </w:r>
            <w:r w:rsidR="00A05D2B">
              <w:rPr>
                <w:sz w:val="18"/>
                <w:szCs w:val="18"/>
              </w:rPr>
              <w:t>.</w:t>
            </w:r>
          </w:p>
        </w:tc>
      </w:tr>
    </w:tbl>
    <w:p w:rsidR="00AA6666" w:rsidRPr="00A05D2B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Pr="00A05D2B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Pr="00854F0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A6666" w:rsidRPr="00854F08" w:rsidTr="00AA6666">
        <w:trPr>
          <w:trHeight w:val="585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854F08" w:rsidRDefault="00AA6666">
            <w:pPr>
              <w:rPr>
                <w:rFonts w:ascii="Trebuchet MS" w:hAnsi="Trebuchet MS"/>
              </w:rPr>
            </w:pP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699"/>
        <w:gridCol w:w="4252"/>
      </w:tblGrid>
      <w:tr w:rsidR="00526154" w:rsidRPr="00854F08" w:rsidTr="00AA6666">
        <w:tc>
          <w:tcPr>
            <w:tcW w:w="1082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7: Identificación de las partes del RA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43" w:rsidRDefault="00365F43" w:rsidP="00E46B89">
      <w:r>
        <w:separator/>
      </w:r>
    </w:p>
  </w:endnote>
  <w:endnote w:type="continuationSeparator" w:id="0">
    <w:p w:rsidR="00365F43" w:rsidRDefault="00365F43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89" w:rsidRPr="00854F08" w:rsidRDefault="009342B8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3267F8" w:rsidRPr="003267F8">
      <w:rPr>
        <w:rFonts w:ascii="Trebuchet MS" w:hAnsi="Trebuchet MS"/>
        <w:b/>
        <w:noProof/>
        <w:lang w:val="es-ES"/>
      </w:rPr>
      <w:t>3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43" w:rsidRDefault="00365F43" w:rsidP="00E46B89">
      <w:r>
        <w:separator/>
      </w:r>
    </w:p>
  </w:footnote>
  <w:footnote w:type="continuationSeparator" w:id="0">
    <w:p w:rsidR="00365F43" w:rsidRDefault="00365F43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 w15:restartNumberingAfterBreak="0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E"/>
    <w:rsid w:val="000F4D43"/>
    <w:rsid w:val="00127547"/>
    <w:rsid w:val="001540B3"/>
    <w:rsid w:val="001B0A3C"/>
    <w:rsid w:val="001E766A"/>
    <w:rsid w:val="002252A7"/>
    <w:rsid w:val="00287B05"/>
    <w:rsid w:val="003267F8"/>
    <w:rsid w:val="00365F43"/>
    <w:rsid w:val="003B7770"/>
    <w:rsid w:val="003C4602"/>
    <w:rsid w:val="00521CDE"/>
    <w:rsid w:val="00526154"/>
    <w:rsid w:val="00536497"/>
    <w:rsid w:val="00615C31"/>
    <w:rsid w:val="00621B16"/>
    <w:rsid w:val="00667959"/>
    <w:rsid w:val="007D1977"/>
    <w:rsid w:val="00854F08"/>
    <w:rsid w:val="00885F4F"/>
    <w:rsid w:val="008B3D94"/>
    <w:rsid w:val="009179E5"/>
    <w:rsid w:val="009342B8"/>
    <w:rsid w:val="0095387D"/>
    <w:rsid w:val="00970D64"/>
    <w:rsid w:val="00A05D2B"/>
    <w:rsid w:val="00AA6666"/>
    <w:rsid w:val="00B42820"/>
    <w:rsid w:val="00B67AF4"/>
    <w:rsid w:val="00BC5E9D"/>
    <w:rsid w:val="00BD6009"/>
    <w:rsid w:val="00C5256A"/>
    <w:rsid w:val="00C748F8"/>
    <w:rsid w:val="00CE191A"/>
    <w:rsid w:val="00DA4C13"/>
    <w:rsid w:val="00DA7BF4"/>
    <w:rsid w:val="00DC09A4"/>
    <w:rsid w:val="00DC2241"/>
    <w:rsid w:val="00DD6BE6"/>
    <w:rsid w:val="00E33B8D"/>
    <w:rsid w:val="00E46B89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36ADC"/>
  <w15:docId w15:val="{D796A99B-84E1-4F29-A140-BA1ED09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customStyle="1" w:styleId="Pa44">
    <w:name w:val="Pa44"/>
    <w:basedOn w:val="Normal"/>
    <w:next w:val="Normal"/>
    <w:uiPriority w:val="99"/>
    <w:rsid w:val="00DC2241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/>
    </w:rPr>
  </w:style>
  <w:style w:type="paragraph" w:customStyle="1" w:styleId="Pa46">
    <w:name w:val="Pa46"/>
    <w:basedOn w:val="Normal"/>
    <w:next w:val="Normal"/>
    <w:uiPriority w:val="99"/>
    <w:rsid w:val="00DC2241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US"/>
    </w:rPr>
  </w:style>
  <w:style w:type="character" w:customStyle="1" w:styleId="A1">
    <w:name w:val="A1"/>
    <w:uiPriority w:val="99"/>
    <w:rsid w:val="00DC224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</dc:creator>
  <cp:lastModifiedBy>Usuario de Windows</cp:lastModifiedBy>
  <cp:revision>4</cp:revision>
  <cp:lastPrinted>2018-09-12T11:43:00Z</cp:lastPrinted>
  <dcterms:created xsi:type="dcterms:W3CDTF">2020-03-02T16:17:00Z</dcterms:created>
  <dcterms:modified xsi:type="dcterms:W3CDTF">2020-03-02T16:19:00Z</dcterms:modified>
</cp:coreProperties>
</file>